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A32B8" w14:textId="77777777" w:rsidR="006F21EC" w:rsidRPr="004E2AB7" w:rsidRDefault="006F21EC" w:rsidP="004E2AB7">
      <w:pPr>
        <w:keepLines/>
        <w:rPr>
          <w:rFonts w:ascii="Helvetica" w:hAnsi="Helvetica"/>
          <w:color w:val="000000"/>
          <w:sz w:val="16"/>
        </w:rPr>
      </w:pPr>
    </w:p>
    <w:p w14:paraId="372C969E" w14:textId="55C01D96" w:rsidR="007C7D1E" w:rsidRPr="004E2AB7" w:rsidRDefault="007C7D1E" w:rsidP="004E2AB7">
      <w:pPr>
        <w:pStyle w:val="Default"/>
        <w:keepLines/>
        <w:jc w:val="center"/>
        <w:rPr>
          <w:rFonts w:ascii="Helvetica" w:hAnsi="Helvetica"/>
          <w:b/>
          <w:sz w:val="28"/>
        </w:rPr>
      </w:pPr>
      <w:r w:rsidRPr="004E2AB7">
        <w:rPr>
          <w:rFonts w:ascii="Helvetica" w:hAnsi="Helvetica"/>
          <w:b/>
          <w:sz w:val="28"/>
        </w:rPr>
        <w:t xml:space="preserve">ANEXO </w:t>
      </w:r>
      <w:r w:rsidR="00FE65AD">
        <w:rPr>
          <w:rFonts w:ascii="Helvetica" w:hAnsi="Helvetica"/>
          <w:b/>
          <w:sz w:val="28"/>
        </w:rPr>
        <w:t>V</w:t>
      </w:r>
      <w:r w:rsidR="0008369D">
        <w:rPr>
          <w:rFonts w:ascii="Helvetica" w:hAnsi="Helvetica"/>
          <w:b/>
          <w:sz w:val="28"/>
        </w:rPr>
        <w:t>I</w:t>
      </w:r>
      <w:r w:rsidR="00581533">
        <w:rPr>
          <w:rFonts w:ascii="Helvetica" w:hAnsi="Helvetica"/>
          <w:b/>
          <w:sz w:val="28"/>
        </w:rPr>
        <w:t>I</w:t>
      </w:r>
      <w:r w:rsidR="00053A2B">
        <w:rPr>
          <w:rFonts w:ascii="Helvetica" w:hAnsi="Helvetica"/>
          <w:b/>
          <w:sz w:val="28"/>
        </w:rPr>
        <w:t>I</w:t>
      </w:r>
    </w:p>
    <w:p w14:paraId="2C846E22" w14:textId="6FD95FEC" w:rsidR="005D471A" w:rsidRPr="004E2AB7" w:rsidRDefault="00053A2B" w:rsidP="00096D75">
      <w:pPr>
        <w:pStyle w:val="Default"/>
        <w:keepLines/>
        <w:jc w:val="center"/>
        <w:rPr>
          <w:rFonts w:ascii="Helvetica" w:hAnsi="Helvetica"/>
          <w:sz w:val="22"/>
        </w:rPr>
      </w:pPr>
      <w:r w:rsidRPr="00053A2B">
        <w:rPr>
          <w:rFonts w:ascii="Helvetica" w:hAnsi="Helvetica"/>
          <w:b/>
          <w:sz w:val="28"/>
        </w:rPr>
        <w:t>Contenido de la memoria del proyecto</w:t>
      </w:r>
    </w:p>
    <w:p w14:paraId="56A4516A" w14:textId="77777777" w:rsidR="00053A2B" w:rsidRDefault="00053A2B" w:rsidP="008E671C">
      <w:pPr>
        <w:keepLines/>
        <w:autoSpaceDE w:val="0"/>
        <w:autoSpaceDN w:val="0"/>
        <w:adjustRightInd w:val="0"/>
        <w:spacing w:after="0" w:line="360" w:lineRule="auto"/>
        <w:rPr>
          <w:rFonts w:ascii="Helvetica" w:hAnsi="Helvetica"/>
          <w:color w:val="000000"/>
          <w:sz w:val="20"/>
          <w:szCs w:val="20"/>
        </w:rPr>
      </w:pPr>
    </w:p>
    <w:p w14:paraId="046E3536" w14:textId="04034609" w:rsidR="002204E8" w:rsidRDefault="002204E8" w:rsidP="002204E8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5B65DED0" w14:textId="7D4EEAD3" w:rsidR="00096D75" w:rsidRPr="00096D75" w:rsidRDefault="00096D75" w:rsidP="00096D75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096D75">
        <w:rPr>
          <w:rFonts w:ascii="Helvetica" w:hAnsi="Helvetica"/>
          <w:sz w:val="20"/>
          <w:szCs w:val="20"/>
        </w:rPr>
        <w:t>La memoria del proyecto que ha de incluirse con la solicitud tendrá la estructura y, al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menos, el contenido mínimo que se recoge en los apartados siguientes. Dicho contenido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podrá ser ampliado, a través de anexos debidamente referenciados, con toda aquella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información adicional que se considere relevante.</w:t>
      </w:r>
    </w:p>
    <w:p w14:paraId="343A5952" w14:textId="77777777" w:rsidR="00204D1F" w:rsidRDefault="00096D75" w:rsidP="00204D1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096D75">
        <w:rPr>
          <w:rFonts w:ascii="Helvetica" w:hAnsi="Helvetica"/>
          <w:sz w:val="20"/>
          <w:szCs w:val="20"/>
        </w:rPr>
        <w:t>Se deberá poner un título breve (longitud no superior a 180 caracteres) de forma que, en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caso de resultar aprobado, su publicación junto con el nombre del operador, el lugar de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realización, el presupuesto y la ayuda concedida, proporcione una información</w:t>
      </w:r>
      <w:r>
        <w:rPr>
          <w:rFonts w:ascii="Helvetica" w:hAnsi="Helvetica"/>
          <w:sz w:val="20"/>
          <w:szCs w:val="20"/>
        </w:rPr>
        <w:t xml:space="preserve"> </w:t>
      </w:r>
      <w:r w:rsidRPr="00096D75">
        <w:rPr>
          <w:rFonts w:ascii="Helvetica" w:hAnsi="Helvetica"/>
          <w:sz w:val="20"/>
          <w:szCs w:val="20"/>
        </w:rPr>
        <w:t>representativa y comprensible del mismo.</w:t>
      </w:r>
      <w:r w:rsidRPr="00096D75">
        <w:rPr>
          <w:rFonts w:ascii="Helvetica" w:hAnsi="Helvetica"/>
          <w:sz w:val="20"/>
          <w:szCs w:val="20"/>
        </w:rPr>
        <w:cr/>
      </w:r>
    </w:p>
    <w:p w14:paraId="60B01AEA" w14:textId="18B47DE2" w:rsidR="00204D1F" w:rsidRPr="00204D1F" w:rsidRDefault="00204D1F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204D1F">
        <w:rPr>
          <w:rFonts w:ascii="Helvetica" w:hAnsi="Helvetica"/>
          <w:sz w:val="20"/>
          <w:szCs w:val="20"/>
          <w:u w:val="single"/>
        </w:rPr>
        <w:t>Descripción general del proyecto (máximo 2 páginas)</w:t>
      </w:r>
    </w:p>
    <w:p w14:paraId="5F057F9D" w14:textId="77777777" w:rsidR="00204D1F" w:rsidRPr="00204D1F" w:rsidRDefault="00204D1F" w:rsidP="00204D1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04D1F">
        <w:rPr>
          <w:rFonts w:ascii="Helvetica" w:hAnsi="Helvetica"/>
          <w:sz w:val="20"/>
          <w:szCs w:val="20"/>
        </w:rPr>
        <w:t>Se incluirá una descripción de alto nivel del proyecto, a modo de resumen ejecutivo.</w:t>
      </w:r>
    </w:p>
    <w:p w14:paraId="3F39A5F1" w14:textId="6B45C3E8" w:rsidR="00204D1F" w:rsidRDefault="00204D1F" w:rsidP="00204D1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04D1F">
        <w:rPr>
          <w:rFonts w:ascii="Helvetica" w:hAnsi="Helvetica"/>
          <w:sz w:val="20"/>
          <w:szCs w:val="20"/>
        </w:rPr>
        <w:t>En caso de que el proyecto forme parte de una actuación más amplia, a llevar a cabo por</w:t>
      </w:r>
      <w:r>
        <w:rPr>
          <w:rFonts w:ascii="Helvetica" w:hAnsi="Helvetica"/>
          <w:sz w:val="20"/>
          <w:szCs w:val="20"/>
        </w:rPr>
        <w:t xml:space="preserve"> </w:t>
      </w:r>
      <w:r w:rsidRPr="00204D1F">
        <w:rPr>
          <w:rFonts w:ascii="Helvetica" w:hAnsi="Helvetica"/>
          <w:sz w:val="20"/>
          <w:szCs w:val="20"/>
        </w:rPr>
        <w:t>el solicitante o por otros operadores, se describirá también el conjunto, así como los</w:t>
      </w:r>
      <w:r>
        <w:rPr>
          <w:rFonts w:ascii="Helvetica" w:hAnsi="Helvetica"/>
          <w:sz w:val="20"/>
          <w:szCs w:val="20"/>
        </w:rPr>
        <w:t xml:space="preserve"> </w:t>
      </w:r>
      <w:r w:rsidRPr="00204D1F">
        <w:rPr>
          <w:rFonts w:ascii="Helvetica" w:hAnsi="Helvetica"/>
          <w:sz w:val="20"/>
          <w:szCs w:val="20"/>
        </w:rPr>
        <w:t>planes o previsiones de realización de la parte de dicha actuación no contemplada en el</w:t>
      </w:r>
      <w:r>
        <w:rPr>
          <w:rFonts w:ascii="Helvetica" w:hAnsi="Helvetica"/>
          <w:sz w:val="20"/>
          <w:szCs w:val="20"/>
        </w:rPr>
        <w:t xml:space="preserve"> </w:t>
      </w:r>
      <w:r w:rsidRPr="00204D1F">
        <w:rPr>
          <w:rFonts w:ascii="Helvetica" w:hAnsi="Helvetica"/>
          <w:sz w:val="20"/>
          <w:szCs w:val="20"/>
        </w:rPr>
        <w:t>proyecto para el que se solicita la ayuda.</w:t>
      </w:r>
    </w:p>
    <w:p w14:paraId="6E7987A0" w14:textId="77777777" w:rsidR="007425E5" w:rsidRPr="00204D1F" w:rsidRDefault="007425E5" w:rsidP="00204D1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7FD9F991" w14:textId="4754F824" w:rsidR="00204D1F" w:rsidRDefault="00204D1F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2A77EB">
        <w:rPr>
          <w:rFonts w:ascii="Helvetica" w:hAnsi="Helvetica"/>
          <w:sz w:val="20"/>
          <w:szCs w:val="20"/>
          <w:u w:val="single"/>
        </w:rPr>
        <w:t xml:space="preserve">Delimitación geográfica y caracterización de las zonas de actuación </w:t>
      </w:r>
    </w:p>
    <w:p w14:paraId="21C05007" w14:textId="77777777" w:rsidR="007425E5" w:rsidRPr="002A77EB" w:rsidRDefault="007425E5" w:rsidP="007425E5">
      <w:pPr>
        <w:pStyle w:val="Default"/>
        <w:keepLines/>
        <w:spacing w:line="360" w:lineRule="auto"/>
        <w:ind w:left="360"/>
        <w:jc w:val="both"/>
        <w:rPr>
          <w:rFonts w:ascii="Helvetica" w:hAnsi="Helvetica"/>
          <w:sz w:val="20"/>
          <w:szCs w:val="20"/>
          <w:u w:val="single"/>
        </w:rPr>
      </w:pPr>
    </w:p>
    <w:p w14:paraId="14687E92" w14:textId="14B2135B" w:rsidR="002A77EB" w:rsidRPr="002A77EB" w:rsidRDefault="00204D1F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2A77EB">
        <w:rPr>
          <w:rFonts w:ascii="Helvetica" w:hAnsi="Helvetica"/>
          <w:sz w:val="20"/>
          <w:szCs w:val="20"/>
          <w:u w:val="single"/>
        </w:rPr>
        <w:t>Descripción técnica del proyecto</w:t>
      </w:r>
      <w:r w:rsidR="002A77EB" w:rsidRPr="002A77EB">
        <w:rPr>
          <w:rFonts w:ascii="Helvetica" w:hAnsi="Helvetica"/>
          <w:sz w:val="20"/>
          <w:szCs w:val="20"/>
          <w:u w:val="single"/>
        </w:rPr>
        <w:t xml:space="preserve"> </w:t>
      </w:r>
    </w:p>
    <w:p w14:paraId="20AE6826" w14:textId="77777777" w:rsidR="00A816FF" w:rsidRDefault="00204D1F" w:rsidP="00A816F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04D1F">
        <w:rPr>
          <w:rFonts w:ascii="Helvetica" w:hAnsi="Helvetica"/>
          <w:sz w:val="20"/>
          <w:szCs w:val="20"/>
        </w:rPr>
        <w:t>La descripción técnica incluirá:</w:t>
      </w:r>
      <w:r w:rsidRPr="00204D1F">
        <w:rPr>
          <w:rFonts w:ascii="Helvetica" w:hAnsi="Helvetica"/>
          <w:sz w:val="20"/>
          <w:szCs w:val="20"/>
        </w:rPr>
        <w:cr/>
      </w:r>
    </w:p>
    <w:p w14:paraId="0A9BF968" w14:textId="090CABE3" w:rsidR="00A816FF" w:rsidRPr="00A816FF" w:rsidRDefault="00A816FF" w:rsidP="00AB2EFB">
      <w:pPr>
        <w:pStyle w:val="Default"/>
        <w:keepLines/>
        <w:numPr>
          <w:ilvl w:val="0"/>
          <w:numId w:val="5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A816FF">
        <w:rPr>
          <w:rFonts w:ascii="Helvetica" w:hAnsi="Helvetica"/>
          <w:sz w:val="20"/>
          <w:szCs w:val="20"/>
        </w:rPr>
        <w:t>La solución tecnológica elegida, la descripción y topología de la red o redes de acceso objeto del proyecto y la ubicación de las unidades de terminación de línea, centrales locales o cabeceras involucradas, aunque no se incluyan gastos en las mismas, así como los enlaces de backhaul incluidos. A tal efecto se incluirán diagramas de bloques debidamente explicados que faciliten su comprensión, así</w:t>
      </w:r>
      <w:r>
        <w:rPr>
          <w:rFonts w:ascii="Helvetica" w:hAnsi="Helvetica"/>
          <w:sz w:val="20"/>
          <w:szCs w:val="20"/>
        </w:rPr>
        <w:t xml:space="preserve"> </w:t>
      </w:r>
      <w:r w:rsidRPr="00A816FF">
        <w:rPr>
          <w:rFonts w:ascii="Helvetica" w:hAnsi="Helvetica"/>
          <w:sz w:val="20"/>
          <w:szCs w:val="20"/>
        </w:rPr>
        <w:t>como la motivación de su adecuación a la zona y de su sostenibilidad a mediolargo plazo.</w:t>
      </w:r>
    </w:p>
    <w:p w14:paraId="607F0144" w14:textId="09E4BA0B" w:rsidR="00A816FF" w:rsidRPr="00A816FF" w:rsidRDefault="00A816FF" w:rsidP="00AB2EFB">
      <w:pPr>
        <w:pStyle w:val="Default"/>
        <w:keepLines/>
        <w:numPr>
          <w:ilvl w:val="0"/>
          <w:numId w:val="5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A816FF">
        <w:rPr>
          <w:rFonts w:ascii="Helvetica" w:hAnsi="Helvetica"/>
          <w:sz w:val="20"/>
          <w:szCs w:val="20"/>
        </w:rPr>
        <w:t>La identificación y cuantificación de las unidades de obra de adaptación o de creación de red, tanto de infraestructuras de obra civil, como de equipos de red. A tal efecto se incluirá la información cartográfica necesaria para precisar su</w:t>
      </w:r>
      <w:r>
        <w:rPr>
          <w:rFonts w:ascii="Helvetica" w:hAnsi="Helvetica"/>
          <w:sz w:val="20"/>
          <w:szCs w:val="20"/>
        </w:rPr>
        <w:t xml:space="preserve"> </w:t>
      </w:r>
      <w:r w:rsidRPr="00A816FF">
        <w:rPr>
          <w:rFonts w:ascii="Helvetica" w:hAnsi="Helvetica"/>
          <w:sz w:val="20"/>
          <w:szCs w:val="20"/>
        </w:rPr>
        <w:t>ubicación geográfica.</w:t>
      </w:r>
    </w:p>
    <w:p w14:paraId="0CA289BC" w14:textId="507D1CDA" w:rsidR="00096D75" w:rsidRDefault="00A816FF" w:rsidP="00AB2EFB">
      <w:pPr>
        <w:pStyle w:val="Default"/>
        <w:keepLines/>
        <w:numPr>
          <w:ilvl w:val="0"/>
          <w:numId w:val="5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A816FF">
        <w:rPr>
          <w:rFonts w:ascii="Helvetica" w:hAnsi="Helvetica"/>
          <w:sz w:val="20"/>
          <w:szCs w:val="20"/>
        </w:rPr>
        <w:lastRenderedPageBreak/>
        <w:t>Valoración de la sostenibilidad de la solución elegida en base a su escalabilidad</w:t>
      </w:r>
      <w:r>
        <w:rPr>
          <w:rFonts w:ascii="Helvetica" w:hAnsi="Helvetica"/>
          <w:sz w:val="20"/>
          <w:szCs w:val="20"/>
        </w:rPr>
        <w:t xml:space="preserve"> </w:t>
      </w:r>
      <w:r w:rsidRPr="00A816FF">
        <w:rPr>
          <w:rFonts w:ascii="Helvetica" w:hAnsi="Helvetica"/>
          <w:sz w:val="20"/>
          <w:szCs w:val="20"/>
        </w:rPr>
        <w:t>para adaptarse a las previsibles variaciones de la demanda</w:t>
      </w:r>
    </w:p>
    <w:p w14:paraId="6AC8C63D" w14:textId="3369F358" w:rsidR="007D6466" w:rsidRDefault="007D6466" w:rsidP="007D6466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68C9BFA4" w14:textId="3575B96C" w:rsidR="007D6466" w:rsidRPr="007D6466" w:rsidRDefault="007D6466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7D6466">
        <w:rPr>
          <w:rFonts w:ascii="Helvetica" w:hAnsi="Helvetica"/>
          <w:sz w:val="20"/>
          <w:szCs w:val="20"/>
          <w:u w:val="single"/>
        </w:rPr>
        <w:t>Presupuesto detallado</w:t>
      </w:r>
    </w:p>
    <w:p w14:paraId="1B104960" w14:textId="6E5DED78" w:rsidR="007D6466" w:rsidRPr="007D6466" w:rsidRDefault="007D6466" w:rsidP="007D6466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D6466">
        <w:rPr>
          <w:rFonts w:ascii="Helvetica" w:hAnsi="Helvetica"/>
          <w:sz w:val="20"/>
          <w:szCs w:val="20"/>
        </w:rPr>
        <w:t>Se facilitará el presupuesto detallado, por conceptos subvencionables, de acuerdo con lo</w:t>
      </w:r>
      <w:r>
        <w:rPr>
          <w:rFonts w:ascii="Helvetica" w:hAnsi="Helvetica"/>
          <w:sz w:val="20"/>
          <w:szCs w:val="20"/>
        </w:rPr>
        <w:t xml:space="preserve"> </w:t>
      </w:r>
      <w:r w:rsidRPr="007D6466">
        <w:rPr>
          <w:rFonts w:ascii="Helvetica" w:hAnsi="Helvetica"/>
          <w:sz w:val="20"/>
          <w:szCs w:val="20"/>
        </w:rPr>
        <w:t xml:space="preserve">previsto en el </w:t>
      </w:r>
      <w:r w:rsidR="005D501B">
        <w:rPr>
          <w:rFonts w:ascii="Helvetica" w:hAnsi="Helvetica"/>
          <w:sz w:val="20"/>
          <w:szCs w:val="20"/>
        </w:rPr>
        <w:t>artículo 38</w:t>
      </w:r>
      <w:r w:rsidRPr="007D6466">
        <w:rPr>
          <w:rFonts w:ascii="Helvetica" w:hAnsi="Helvetica"/>
          <w:sz w:val="20"/>
          <w:szCs w:val="20"/>
        </w:rPr>
        <w:t xml:space="preserve"> de esta Convocatoria. Dentro de cada concepto se</w:t>
      </w:r>
      <w:r>
        <w:rPr>
          <w:rFonts w:ascii="Helvetica" w:hAnsi="Helvetica"/>
          <w:sz w:val="20"/>
          <w:szCs w:val="20"/>
        </w:rPr>
        <w:t xml:space="preserve"> </w:t>
      </w:r>
      <w:r w:rsidRPr="007D6466">
        <w:rPr>
          <w:rFonts w:ascii="Helvetica" w:hAnsi="Helvetica"/>
          <w:sz w:val="20"/>
          <w:szCs w:val="20"/>
        </w:rPr>
        <w:t>incluirán las diferentes partidas (denominación, coste unitario y número de unidades).</w:t>
      </w:r>
    </w:p>
    <w:p w14:paraId="2790E269" w14:textId="5CC9432B" w:rsidR="000F560D" w:rsidRPr="000F560D" w:rsidRDefault="007D6466" w:rsidP="000F560D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D6466">
        <w:rPr>
          <w:rFonts w:ascii="Helvetica" w:hAnsi="Helvetica"/>
          <w:sz w:val="20"/>
          <w:szCs w:val="20"/>
        </w:rPr>
        <w:t>Sólo se deberán reflejar en este presupuesto aquellos gastos que sean elegibles, tanto por</w:t>
      </w:r>
      <w:r w:rsidR="005551BC">
        <w:rPr>
          <w:rFonts w:ascii="Helvetica" w:hAnsi="Helvetica"/>
          <w:sz w:val="20"/>
          <w:szCs w:val="20"/>
        </w:rPr>
        <w:t xml:space="preserve"> </w:t>
      </w:r>
      <w:r w:rsidRPr="007D6466">
        <w:rPr>
          <w:rFonts w:ascii="Helvetica" w:hAnsi="Helvetica"/>
          <w:sz w:val="20"/>
          <w:szCs w:val="20"/>
        </w:rPr>
        <w:t>su naturaleza, como por el plazo de realización, que va desde la fecha de presentación de</w:t>
      </w:r>
      <w:r w:rsidR="005551BC">
        <w:rPr>
          <w:rFonts w:ascii="Helvetica" w:hAnsi="Helvetica"/>
          <w:sz w:val="20"/>
          <w:szCs w:val="20"/>
        </w:rPr>
        <w:t xml:space="preserve"> </w:t>
      </w:r>
      <w:r w:rsidRPr="007D6466">
        <w:rPr>
          <w:rFonts w:ascii="Helvetica" w:hAnsi="Helvetica"/>
          <w:sz w:val="20"/>
          <w:szCs w:val="20"/>
        </w:rPr>
        <w:t>la solicitud hasta la fecha final prevista para la ejecución del proyecto, con el límite del 31</w:t>
      </w:r>
      <w:r w:rsidR="005551BC">
        <w:rPr>
          <w:rFonts w:ascii="Helvetica" w:hAnsi="Helvetica"/>
          <w:sz w:val="20"/>
          <w:szCs w:val="20"/>
        </w:rPr>
        <w:t xml:space="preserve"> </w:t>
      </w:r>
      <w:r w:rsidRPr="007D6466">
        <w:rPr>
          <w:rFonts w:ascii="Helvetica" w:hAnsi="Helvetica"/>
          <w:sz w:val="20"/>
          <w:szCs w:val="20"/>
        </w:rPr>
        <w:t>de diciembre de 2023.</w:t>
      </w:r>
      <w:r w:rsidRPr="007D6466">
        <w:rPr>
          <w:rFonts w:ascii="Helvetica" w:hAnsi="Helvetica"/>
          <w:sz w:val="20"/>
          <w:szCs w:val="20"/>
        </w:rPr>
        <w:cr/>
      </w:r>
      <w:r w:rsidR="000F560D" w:rsidRPr="000F560D">
        <w:rPr>
          <w:rFonts w:ascii="Helvetica" w:hAnsi="Helvetica"/>
          <w:sz w:val="20"/>
          <w:szCs w:val="20"/>
        </w:rPr>
        <w:t>Como costes directos de personal se podrán calcular a un tipo fijo de hasta el 20 por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ciento de lo presupuestado en Infraestructuras y obra civil y en equipamiento y otros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materiales. Asimismo, como costes indirectos se podrán calcular a un tipo fijo de hasta el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15 por ciento de los costes directos de personal subvencionables. En ambos casos no se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requiere justificación si el porcentaje aplicado no supera los costes asociados a dichos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conceptos que sean considerados y contabilizados como inversión por el beneficiario.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Además, en relación con los costes indirectos considerados y contabilizados como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inversión por el beneficiario solo se incluirán los asociados a los conceptos</w:t>
      </w:r>
      <w:r w:rsidR="000F560D">
        <w:rPr>
          <w:rFonts w:ascii="Helvetica" w:hAnsi="Helvetica"/>
          <w:sz w:val="20"/>
          <w:szCs w:val="20"/>
        </w:rPr>
        <w:t xml:space="preserve"> </w:t>
      </w:r>
      <w:r w:rsidR="000F560D" w:rsidRPr="000F560D">
        <w:rPr>
          <w:rFonts w:ascii="Helvetica" w:hAnsi="Helvetica"/>
          <w:sz w:val="20"/>
          <w:szCs w:val="20"/>
        </w:rPr>
        <w:t>subvencionados, que se especifican en el anexo II.</w:t>
      </w:r>
    </w:p>
    <w:p w14:paraId="02A94114" w14:textId="7732C842" w:rsidR="007D6466" w:rsidRDefault="000F560D" w:rsidP="000F560D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0F560D">
        <w:rPr>
          <w:rFonts w:ascii="Helvetica" w:hAnsi="Helvetica"/>
          <w:sz w:val="20"/>
          <w:szCs w:val="20"/>
        </w:rPr>
        <w:t>Se deberá incluir dentro de este apartado, el método y estimaciones llevadas a cabo que</w:t>
      </w:r>
      <w:r w:rsidR="003F6FCA">
        <w:rPr>
          <w:rFonts w:ascii="Helvetica" w:hAnsi="Helvetica"/>
          <w:sz w:val="20"/>
          <w:szCs w:val="20"/>
        </w:rPr>
        <w:t xml:space="preserve"> </w:t>
      </w:r>
      <w:r w:rsidRPr="000F560D">
        <w:rPr>
          <w:rFonts w:ascii="Helvetica" w:hAnsi="Helvetica"/>
          <w:sz w:val="20"/>
          <w:szCs w:val="20"/>
        </w:rPr>
        <w:t>justifican la adecuación a la realidad de los porcentajes definidos para las partidas de</w:t>
      </w:r>
      <w:r w:rsidR="003F6FCA">
        <w:rPr>
          <w:rFonts w:ascii="Helvetica" w:hAnsi="Helvetica"/>
          <w:sz w:val="20"/>
          <w:szCs w:val="20"/>
        </w:rPr>
        <w:t xml:space="preserve"> </w:t>
      </w:r>
      <w:r w:rsidRPr="000F560D">
        <w:rPr>
          <w:rFonts w:ascii="Helvetica" w:hAnsi="Helvetica"/>
          <w:sz w:val="20"/>
          <w:szCs w:val="20"/>
        </w:rPr>
        <w:t>costes directos de personal y costes indirectos que se incluyen en el presupuesto.</w:t>
      </w:r>
      <w:r w:rsidRPr="000F560D">
        <w:rPr>
          <w:rFonts w:ascii="Helvetica" w:hAnsi="Helvetica"/>
          <w:sz w:val="20"/>
          <w:szCs w:val="20"/>
        </w:rPr>
        <w:cr/>
      </w:r>
    </w:p>
    <w:p w14:paraId="1ABCCE1B" w14:textId="0ECFEE14" w:rsidR="003F6FCA" w:rsidRPr="003F6FCA" w:rsidRDefault="003F6FCA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3F6FCA">
        <w:rPr>
          <w:rFonts w:ascii="Helvetica" w:hAnsi="Helvetica"/>
          <w:sz w:val="20"/>
          <w:szCs w:val="20"/>
          <w:u w:val="single"/>
        </w:rPr>
        <w:t>Plan de despliegue</w:t>
      </w:r>
    </w:p>
    <w:p w14:paraId="583B9283" w14:textId="77777777" w:rsidR="003F6FCA" w:rsidRPr="003F6FCA" w:rsidRDefault="003F6FCA" w:rsidP="003F6FCA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3F6FCA">
        <w:rPr>
          <w:rFonts w:ascii="Helvetica" w:hAnsi="Helvetica"/>
          <w:sz w:val="20"/>
          <w:szCs w:val="20"/>
        </w:rPr>
        <w:t>Con respecto al plan de despliegue de las infraestructuras o de ejecución del proyecto, se</w:t>
      </w:r>
    </w:p>
    <w:p w14:paraId="007087FB" w14:textId="77777777" w:rsidR="003F6FCA" w:rsidRPr="003F6FCA" w:rsidRDefault="003F6FCA" w:rsidP="003F6FCA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3F6FCA">
        <w:rPr>
          <w:rFonts w:ascii="Helvetica" w:hAnsi="Helvetica"/>
          <w:sz w:val="20"/>
          <w:szCs w:val="20"/>
        </w:rPr>
        <w:t>incluirá la siguiente información:</w:t>
      </w:r>
    </w:p>
    <w:p w14:paraId="59BAA600" w14:textId="5551653A" w:rsidR="003F6FCA" w:rsidRPr="003F6FCA" w:rsidRDefault="003F6FCA" w:rsidP="00AB2EFB">
      <w:pPr>
        <w:pStyle w:val="Default"/>
        <w:keepLines/>
        <w:numPr>
          <w:ilvl w:val="0"/>
          <w:numId w:val="6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F6FCA">
        <w:rPr>
          <w:rFonts w:ascii="Helvetica" w:hAnsi="Helvetica"/>
          <w:sz w:val="20"/>
          <w:szCs w:val="20"/>
        </w:rPr>
        <w:t>Descripción y delimitación de las fases y principales actividades a realizar, tales como: obtención de permisos y licencias, realización de obra civil, adquisición de materiales y su instalación. La delimitación de cada fase y actividad incluirá la</w:t>
      </w:r>
      <w:r>
        <w:rPr>
          <w:rFonts w:ascii="Helvetica" w:hAnsi="Helvetica"/>
          <w:sz w:val="20"/>
          <w:szCs w:val="20"/>
        </w:rPr>
        <w:t xml:space="preserve"> </w:t>
      </w:r>
      <w:r w:rsidRPr="003F6FCA">
        <w:rPr>
          <w:rFonts w:ascii="Helvetica" w:hAnsi="Helvetica"/>
          <w:sz w:val="20"/>
          <w:szCs w:val="20"/>
        </w:rPr>
        <w:t>cuantificación de las unidades de obra asociadas y de otros recursos necesarios.</w:t>
      </w:r>
    </w:p>
    <w:p w14:paraId="755584AA" w14:textId="02E37544" w:rsidR="003F6FCA" w:rsidRPr="003F6FCA" w:rsidRDefault="003F6FCA" w:rsidP="00AB2EFB">
      <w:pPr>
        <w:pStyle w:val="Default"/>
        <w:keepLines/>
        <w:numPr>
          <w:ilvl w:val="0"/>
          <w:numId w:val="6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F6FCA">
        <w:rPr>
          <w:rFonts w:ascii="Helvetica" w:hAnsi="Helvetica"/>
          <w:sz w:val="20"/>
          <w:szCs w:val="20"/>
        </w:rPr>
        <w:t>Cronograma de previsiones sobre el inicio y finalización de las fases y principales</w:t>
      </w:r>
      <w:r>
        <w:rPr>
          <w:rFonts w:ascii="Helvetica" w:hAnsi="Helvetica"/>
          <w:sz w:val="20"/>
          <w:szCs w:val="20"/>
        </w:rPr>
        <w:t xml:space="preserve"> </w:t>
      </w:r>
      <w:r w:rsidRPr="003F6FCA">
        <w:rPr>
          <w:rFonts w:ascii="Helvetica" w:hAnsi="Helvetica"/>
          <w:sz w:val="20"/>
          <w:szCs w:val="20"/>
        </w:rPr>
        <w:t>actividades hasta la puesta en funcionamiento de la red proyectada.</w:t>
      </w:r>
    </w:p>
    <w:p w14:paraId="72397D6A" w14:textId="1BCBA1E3" w:rsidR="003F6FCA" w:rsidRDefault="003F6FCA" w:rsidP="00AB2EFB">
      <w:pPr>
        <w:pStyle w:val="Default"/>
        <w:keepLines/>
        <w:numPr>
          <w:ilvl w:val="0"/>
          <w:numId w:val="6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F6FCA">
        <w:rPr>
          <w:rFonts w:ascii="Helvetica" w:hAnsi="Helvetica"/>
          <w:sz w:val="20"/>
          <w:szCs w:val="20"/>
        </w:rPr>
        <w:t>Identificación de posibles riesgos y plan de contingencias.</w:t>
      </w:r>
      <w:r w:rsidRPr="003F6FCA">
        <w:rPr>
          <w:rFonts w:ascii="Helvetica" w:hAnsi="Helvetica"/>
          <w:sz w:val="20"/>
          <w:szCs w:val="20"/>
        </w:rPr>
        <w:cr/>
      </w:r>
    </w:p>
    <w:p w14:paraId="09B9BBA3" w14:textId="719774C8" w:rsidR="002E5996" w:rsidRPr="002E5996" w:rsidRDefault="002E5996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2E5996">
        <w:rPr>
          <w:rFonts w:ascii="Helvetica" w:hAnsi="Helvetica"/>
          <w:sz w:val="20"/>
          <w:szCs w:val="20"/>
          <w:u w:val="single"/>
        </w:rPr>
        <w:t>Organización de la ejecución del proyecto.</w:t>
      </w:r>
    </w:p>
    <w:p w14:paraId="35600AF9" w14:textId="77777777" w:rsidR="002E5996" w:rsidRPr="002E5996" w:rsidRDefault="002E5996" w:rsidP="002E5996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E5996">
        <w:rPr>
          <w:rFonts w:ascii="Helvetica" w:hAnsi="Helvetica"/>
          <w:sz w:val="20"/>
          <w:szCs w:val="20"/>
        </w:rPr>
        <w:t>Se describirá la organización prevista para la ejecución del proyecto, incluyendo:</w:t>
      </w:r>
    </w:p>
    <w:p w14:paraId="586B1548" w14:textId="4F52117D" w:rsidR="002E5996" w:rsidRPr="002E5996" w:rsidRDefault="002E5996" w:rsidP="00AB2EFB">
      <w:pPr>
        <w:pStyle w:val="Default"/>
        <w:keepLines/>
        <w:numPr>
          <w:ilvl w:val="0"/>
          <w:numId w:val="7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2E5996">
        <w:rPr>
          <w:rFonts w:ascii="Helvetica" w:hAnsi="Helvetica"/>
          <w:sz w:val="20"/>
          <w:szCs w:val="20"/>
        </w:rPr>
        <w:lastRenderedPageBreak/>
        <w:t>Una descripción del equipo de trabajo formado por personal propio, en su caso, que incluya: número y perfiles profesionales de los miembros del equipo de</w:t>
      </w:r>
      <w:r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trabajo y sus funciones.</w:t>
      </w:r>
    </w:p>
    <w:p w14:paraId="2263D620" w14:textId="3A5B15F9" w:rsidR="002E5996" w:rsidRPr="00D06172" w:rsidRDefault="002E5996" w:rsidP="00AB2EFB">
      <w:pPr>
        <w:pStyle w:val="Default"/>
        <w:keepLines/>
        <w:numPr>
          <w:ilvl w:val="0"/>
          <w:numId w:val="7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D06172">
        <w:rPr>
          <w:rFonts w:ascii="Helvetica" w:hAnsi="Helvetica"/>
          <w:sz w:val="20"/>
          <w:szCs w:val="20"/>
        </w:rPr>
        <w:t xml:space="preserve">En relación con los aprovisionamientos de bienes y servicios, se expondrán los mecanismos de selección de proveedores, teniendo en cuenta lo previsto en el artículo </w:t>
      </w:r>
      <w:r w:rsidR="00D06172" w:rsidRPr="00D06172">
        <w:rPr>
          <w:rFonts w:ascii="Helvetica" w:hAnsi="Helvetica"/>
          <w:sz w:val="20"/>
          <w:szCs w:val="20"/>
        </w:rPr>
        <w:t>8.5</w:t>
      </w:r>
      <w:r w:rsidRPr="00D06172">
        <w:rPr>
          <w:rFonts w:ascii="Helvetica" w:hAnsi="Helvetica"/>
          <w:sz w:val="20"/>
          <w:szCs w:val="20"/>
        </w:rPr>
        <w:t xml:space="preserve"> de las bases reguladoras</w:t>
      </w:r>
      <w:r w:rsidR="000D78DF">
        <w:rPr>
          <w:rFonts w:ascii="Helvetica" w:hAnsi="Helvetica"/>
          <w:sz w:val="20"/>
          <w:szCs w:val="20"/>
        </w:rPr>
        <w:t>.</w:t>
      </w:r>
    </w:p>
    <w:p w14:paraId="7E45DEB9" w14:textId="4237DD40" w:rsidR="002E5996" w:rsidRPr="000D78DF" w:rsidRDefault="002E5996" w:rsidP="00AB2EFB">
      <w:pPr>
        <w:pStyle w:val="Default"/>
        <w:keepLines/>
        <w:numPr>
          <w:ilvl w:val="0"/>
          <w:numId w:val="7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D78DF">
        <w:rPr>
          <w:rFonts w:ascii="Helvetica" w:hAnsi="Helvetica"/>
          <w:sz w:val="20"/>
          <w:szCs w:val="20"/>
        </w:rPr>
        <w:t>Si el proceso de selección de algún proveedor de bienes o servicios no se realizara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específicamente para este proyecto, por formar parte de un procedimiento</w:t>
      </w:r>
      <w:r w:rsid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general del operador, se deberá aportar una descripción de dicho procedimiento.</w:t>
      </w:r>
    </w:p>
    <w:p w14:paraId="1EAA7F48" w14:textId="5D6151D6" w:rsidR="002E5996" w:rsidRDefault="002E5996" w:rsidP="00AB2EFB">
      <w:pPr>
        <w:pStyle w:val="Default"/>
        <w:keepLines/>
        <w:numPr>
          <w:ilvl w:val="0"/>
          <w:numId w:val="7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D78DF">
        <w:rPr>
          <w:rFonts w:ascii="Helvetica" w:hAnsi="Helvetica"/>
          <w:sz w:val="20"/>
          <w:szCs w:val="20"/>
        </w:rPr>
        <w:t>La previsión, en su caso, de la realización de subcontrataciones, entendiendo que,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 xml:space="preserve">de acuerdo con lo establecido en el artículo </w:t>
      </w:r>
      <w:r w:rsidR="0026415A">
        <w:rPr>
          <w:rFonts w:ascii="Helvetica" w:hAnsi="Helvetica"/>
          <w:sz w:val="20"/>
          <w:szCs w:val="20"/>
        </w:rPr>
        <w:t>25</w:t>
      </w:r>
      <w:r w:rsidRPr="000D78DF">
        <w:rPr>
          <w:rFonts w:ascii="Helvetica" w:hAnsi="Helvetica"/>
          <w:sz w:val="20"/>
          <w:szCs w:val="20"/>
        </w:rPr>
        <w:t xml:space="preserve"> de las bases reguladoras, un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beneficiario subcontrata cuando concierta con terceros la ejecución total o parcial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de la actividad que constituye el objeto de la ayuda. Queda fuera de este concepto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la contratación de aquellos gastos en que tenga que incurrir el beneficiario para la</w:t>
      </w:r>
      <w:r w:rsidR="000D78DF" w:rsidRP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realización por sí mismo de la actividad financiada (la extensión de la cobertura de</w:t>
      </w:r>
      <w:r w:rsidR="000D78DF">
        <w:rPr>
          <w:rFonts w:ascii="Helvetica" w:hAnsi="Helvetica"/>
          <w:sz w:val="20"/>
          <w:szCs w:val="20"/>
        </w:rPr>
        <w:t xml:space="preserve"> </w:t>
      </w:r>
      <w:r w:rsidRPr="000D78DF">
        <w:rPr>
          <w:rFonts w:ascii="Helvetica" w:hAnsi="Helvetica"/>
          <w:sz w:val="20"/>
          <w:szCs w:val="20"/>
        </w:rPr>
        <w:t>banda ancha prevista).</w:t>
      </w:r>
    </w:p>
    <w:p w14:paraId="0ACCBB9A" w14:textId="77777777" w:rsidR="007425E5" w:rsidRPr="000D78DF" w:rsidRDefault="007425E5" w:rsidP="007425E5">
      <w:pPr>
        <w:pStyle w:val="Default"/>
        <w:keepLines/>
        <w:spacing w:line="360" w:lineRule="auto"/>
        <w:ind w:left="720"/>
        <w:jc w:val="both"/>
        <w:rPr>
          <w:rFonts w:ascii="Helvetica" w:hAnsi="Helvetica"/>
          <w:sz w:val="20"/>
          <w:szCs w:val="20"/>
        </w:rPr>
      </w:pPr>
    </w:p>
    <w:p w14:paraId="0DE1A62E" w14:textId="6CB0F11D" w:rsidR="002E5996" w:rsidRPr="00CC5234" w:rsidRDefault="002E5996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CC5234">
        <w:rPr>
          <w:rFonts w:ascii="Helvetica" w:hAnsi="Helvetica"/>
          <w:sz w:val="20"/>
          <w:szCs w:val="20"/>
          <w:u w:val="single"/>
        </w:rPr>
        <w:t>Plan de negocio</w:t>
      </w:r>
    </w:p>
    <w:p w14:paraId="26DFFA0F" w14:textId="3D763640" w:rsidR="002E5996" w:rsidRPr="002E5996" w:rsidRDefault="002E5996" w:rsidP="002E5996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E5996">
        <w:rPr>
          <w:rFonts w:ascii="Helvetica" w:hAnsi="Helvetica"/>
          <w:sz w:val="20"/>
          <w:szCs w:val="20"/>
        </w:rPr>
        <w:t>Se incluirá un análisis del entorno comercial actual y previsto, en el que se incluirá una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estimación de la demanda, de las condiciones de competencia y de cualquier otra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característica destacable del mercado, así como una valoración del efecto que la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realización del proyecto tendrá sobre la capacidad de elección de operador y de servicios,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para los usuarios de la zona.</w:t>
      </w:r>
    </w:p>
    <w:p w14:paraId="22679DD4" w14:textId="422F6821" w:rsidR="00746F47" w:rsidRPr="00746F47" w:rsidRDefault="002E5996" w:rsidP="00746F47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2E5996">
        <w:rPr>
          <w:rFonts w:ascii="Helvetica" w:hAnsi="Helvetica"/>
          <w:sz w:val="20"/>
          <w:szCs w:val="20"/>
        </w:rPr>
        <w:t>Asimismo, se indicarán los principales tipos de servicios de red que se prevén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comercializar, el nivel de precios, el canal de distribución/ventas, las promociones, la</w:t>
      </w:r>
      <w:r w:rsidR="00CC5234">
        <w:rPr>
          <w:rFonts w:ascii="Helvetica" w:hAnsi="Helvetica"/>
          <w:sz w:val="20"/>
          <w:szCs w:val="20"/>
        </w:rPr>
        <w:t xml:space="preserve"> </w:t>
      </w:r>
      <w:r w:rsidRPr="002E5996">
        <w:rPr>
          <w:rFonts w:ascii="Helvetica" w:hAnsi="Helvetica"/>
          <w:sz w:val="20"/>
          <w:szCs w:val="20"/>
        </w:rPr>
        <w:t>publicidad y cualquier otro aspecto relevante. Cuando se trate de operadores integrados</w:t>
      </w:r>
      <w:r w:rsidR="00CC5234">
        <w:rPr>
          <w:rFonts w:ascii="Helvetica" w:hAnsi="Helvetica"/>
          <w:sz w:val="20"/>
          <w:szCs w:val="20"/>
        </w:rPr>
        <w:t xml:space="preserve"> </w:t>
      </w:r>
      <w:r w:rsidR="00746F47" w:rsidRPr="00746F47">
        <w:rPr>
          <w:rFonts w:ascii="Helvetica" w:hAnsi="Helvetica"/>
          <w:sz w:val="20"/>
          <w:szCs w:val="20"/>
        </w:rPr>
        <w:t>verticalmente, y no se disponga de la información anterior, se facilitará la</w:t>
      </w:r>
      <w:r w:rsidR="00746F47">
        <w:rPr>
          <w:rFonts w:ascii="Helvetica" w:hAnsi="Helvetica"/>
          <w:sz w:val="20"/>
          <w:szCs w:val="20"/>
        </w:rPr>
        <w:t xml:space="preserve"> </w:t>
      </w:r>
      <w:r w:rsidR="00746F47" w:rsidRPr="00746F47">
        <w:rPr>
          <w:rFonts w:ascii="Helvetica" w:hAnsi="Helvetica"/>
          <w:sz w:val="20"/>
          <w:szCs w:val="20"/>
        </w:rPr>
        <w:t>correspondiente a los servicios de comunicaciones electrónicas que se prevé prestar a</w:t>
      </w:r>
      <w:r w:rsidR="00746F47">
        <w:rPr>
          <w:rFonts w:ascii="Helvetica" w:hAnsi="Helvetica"/>
          <w:sz w:val="20"/>
          <w:szCs w:val="20"/>
        </w:rPr>
        <w:t xml:space="preserve"> </w:t>
      </w:r>
      <w:r w:rsidR="00746F47" w:rsidRPr="00746F47">
        <w:rPr>
          <w:rFonts w:ascii="Helvetica" w:hAnsi="Helvetica"/>
          <w:sz w:val="20"/>
          <w:szCs w:val="20"/>
        </w:rPr>
        <w:t>través de la red para la que se solicita la ayuda.</w:t>
      </w:r>
    </w:p>
    <w:p w14:paraId="7802FE25" w14:textId="77777777" w:rsidR="00746F47" w:rsidRDefault="00746F47" w:rsidP="00746F47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6F47">
        <w:rPr>
          <w:rFonts w:ascii="Helvetica" w:hAnsi="Helvetica"/>
          <w:sz w:val="20"/>
          <w:szCs w:val="20"/>
        </w:rPr>
        <w:t>Se deberá facilitar, siguiendo el esquema que a continuación se presenta, los flujos de</w:t>
      </w:r>
      <w:r>
        <w:rPr>
          <w:rFonts w:ascii="Helvetica" w:hAnsi="Helvetica"/>
          <w:sz w:val="20"/>
          <w:szCs w:val="20"/>
        </w:rPr>
        <w:t xml:space="preserve"> </w:t>
      </w:r>
      <w:r w:rsidRPr="00746F47">
        <w:rPr>
          <w:rFonts w:ascii="Helvetica" w:hAnsi="Helvetica"/>
          <w:sz w:val="20"/>
          <w:szCs w:val="20"/>
        </w:rPr>
        <w:t>caja que se estima generará el proyecto, considerando el margen temporal de 10 años.</w:t>
      </w:r>
    </w:p>
    <w:p w14:paraId="6BC991A9" w14:textId="316FB148" w:rsidR="00746F47" w:rsidRPr="00746F47" w:rsidRDefault="00746F47" w:rsidP="00746F47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6F47">
        <w:rPr>
          <w:rFonts w:ascii="Helvetica" w:hAnsi="Helvetica"/>
          <w:sz w:val="20"/>
          <w:szCs w:val="20"/>
        </w:rPr>
        <w:t>Como ingresos, cuando se trate de operadores integrados verticalmente, se podrá incluir</w:t>
      </w:r>
      <w:r>
        <w:rPr>
          <w:rFonts w:ascii="Helvetica" w:hAnsi="Helvetica"/>
          <w:sz w:val="20"/>
          <w:szCs w:val="20"/>
        </w:rPr>
        <w:t xml:space="preserve"> </w:t>
      </w:r>
      <w:r w:rsidRPr="00746F47">
        <w:rPr>
          <w:rFonts w:ascii="Helvetica" w:hAnsi="Helvetica"/>
          <w:sz w:val="20"/>
          <w:szCs w:val="20"/>
        </w:rPr>
        <w:t>la prestación de servicios de comunicaciones electrónicas a través de la red para la que se</w:t>
      </w:r>
      <w:r>
        <w:rPr>
          <w:rFonts w:ascii="Helvetica" w:hAnsi="Helvetica"/>
          <w:sz w:val="20"/>
          <w:szCs w:val="20"/>
        </w:rPr>
        <w:t xml:space="preserve"> </w:t>
      </w:r>
      <w:r w:rsidRPr="00746F47">
        <w:rPr>
          <w:rFonts w:ascii="Helvetica" w:hAnsi="Helvetica"/>
          <w:sz w:val="20"/>
          <w:szCs w:val="20"/>
        </w:rPr>
        <w:t>solicita la ayuda.</w:t>
      </w:r>
    </w:p>
    <w:p w14:paraId="4450B1C4" w14:textId="29700DCC" w:rsidR="00746F47" w:rsidRPr="00746F47" w:rsidRDefault="00746F47" w:rsidP="00746F47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6F47">
        <w:rPr>
          <w:rFonts w:ascii="Helvetica" w:hAnsi="Helvetica"/>
          <w:sz w:val="20"/>
          <w:szCs w:val="20"/>
        </w:rPr>
        <w:t>Los gastos se presentarán diferenciados entre inversiones en bienes capital (CAPEX) y</w:t>
      </w:r>
      <w:r>
        <w:rPr>
          <w:rFonts w:ascii="Helvetica" w:hAnsi="Helvetica"/>
          <w:sz w:val="20"/>
          <w:szCs w:val="20"/>
        </w:rPr>
        <w:t xml:space="preserve"> </w:t>
      </w:r>
      <w:r w:rsidRPr="00746F47">
        <w:rPr>
          <w:rFonts w:ascii="Helvetica" w:hAnsi="Helvetica"/>
          <w:sz w:val="20"/>
          <w:szCs w:val="20"/>
        </w:rPr>
        <w:t>gastos corrientes.</w:t>
      </w:r>
    </w:p>
    <w:p w14:paraId="03420167" w14:textId="0DBEFEF6" w:rsidR="00746F47" w:rsidRPr="00746F47" w:rsidRDefault="00746F47" w:rsidP="00AB2EFB">
      <w:pPr>
        <w:pStyle w:val="Default"/>
        <w:keepLines/>
        <w:numPr>
          <w:ilvl w:val="0"/>
          <w:numId w:val="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746F47">
        <w:rPr>
          <w:rFonts w:ascii="Helvetica" w:hAnsi="Helvetica"/>
          <w:sz w:val="20"/>
          <w:szCs w:val="20"/>
        </w:rPr>
        <w:t>CAPEX subvencionable: será la inversión en obra y equipos que se ajusta a lo</w:t>
      </w:r>
      <w:r>
        <w:rPr>
          <w:rFonts w:ascii="Helvetica" w:hAnsi="Helvetica"/>
          <w:sz w:val="20"/>
          <w:szCs w:val="20"/>
        </w:rPr>
        <w:t xml:space="preserve"> </w:t>
      </w:r>
      <w:r w:rsidRPr="00746F47">
        <w:rPr>
          <w:rFonts w:ascii="Helvetica" w:hAnsi="Helvetica"/>
          <w:sz w:val="20"/>
          <w:szCs w:val="20"/>
        </w:rPr>
        <w:t xml:space="preserve">establecido en el artículo </w:t>
      </w:r>
      <w:r w:rsidR="0011541C">
        <w:rPr>
          <w:rFonts w:ascii="Helvetica" w:hAnsi="Helvetica"/>
          <w:sz w:val="20"/>
          <w:szCs w:val="20"/>
        </w:rPr>
        <w:t>8</w:t>
      </w:r>
      <w:r w:rsidRPr="00746F47">
        <w:rPr>
          <w:rFonts w:ascii="Helvetica" w:hAnsi="Helvetica"/>
          <w:sz w:val="20"/>
          <w:szCs w:val="20"/>
        </w:rPr>
        <w:t xml:space="preserve"> de las bases reguladoras.</w:t>
      </w:r>
    </w:p>
    <w:p w14:paraId="230C04DC" w14:textId="2BFCD5B1" w:rsidR="00746F47" w:rsidRPr="0011541C" w:rsidRDefault="00746F47" w:rsidP="00AB2EFB">
      <w:pPr>
        <w:pStyle w:val="Default"/>
        <w:keepLines/>
        <w:numPr>
          <w:ilvl w:val="0"/>
          <w:numId w:val="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1541C">
        <w:rPr>
          <w:rFonts w:ascii="Helvetica" w:hAnsi="Helvetica"/>
          <w:sz w:val="20"/>
          <w:szCs w:val="20"/>
        </w:rPr>
        <w:lastRenderedPageBreak/>
        <w:t>CAPEX no subvencionables: resto de la inversión necesaria, pero que no tiene la</w:t>
      </w:r>
      <w:r w:rsidR="0011541C" w:rsidRPr="0011541C">
        <w:rPr>
          <w:rFonts w:ascii="Helvetica" w:hAnsi="Helvetica"/>
          <w:sz w:val="20"/>
          <w:szCs w:val="20"/>
        </w:rPr>
        <w:t xml:space="preserve"> </w:t>
      </w:r>
      <w:r w:rsidRPr="0011541C">
        <w:rPr>
          <w:rFonts w:ascii="Helvetica" w:hAnsi="Helvetica"/>
          <w:sz w:val="20"/>
          <w:szCs w:val="20"/>
        </w:rPr>
        <w:t>consideración de subvencionable de acuerdo con el artículo citado de las bases</w:t>
      </w:r>
      <w:r w:rsidR="0011541C">
        <w:rPr>
          <w:rFonts w:ascii="Helvetica" w:hAnsi="Helvetica"/>
          <w:sz w:val="20"/>
          <w:szCs w:val="20"/>
        </w:rPr>
        <w:t xml:space="preserve"> </w:t>
      </w:r>
      <w:r w:rsidRPr="0011541C">
        <w:rPr>
          <w:rFonts w:ascii="Helvetica" w:hAnsi="Helvetica"/>
          <w:sz w:val="20"/>
          <w:szCs w:val="20"/>
        </w:rPr>
        <w:t>reguladoras.</w:t>
      </w:r>
    </w:p>
    <w:p w14:paraId="1B220A06" w14:textId="78354032" w:rsidR="00746F47" w:rsidRPr="0011541C" w:rsidRDefault="00746F47" w:rsidP="00AB2EFB">
      <w:pPr>
        <w:pStyle w:val="Default"/>
        <w:keepLines/>
        <w:numPr>
          <w:ilvl w:val="0"/>
          <w:numId w:val="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1541C">
        <w:rPr>
          <w:rFonts w:ascii="Helvetica" w:hAnsi="Helvetica"/>
          <w:sz w:val="20"/>
          <w:szCs w:val="20"/>
        </w:rPr>
        <w:t>Gastos corrientes /ordinarios: serán los necesarios y derivados de la propia</w:t>
      </w:r>
      <w:r w:rsidR="0011541C" w:rsidRPr="0011541C">
        <w:rPr>
          <w:rFonts w:ascii="Helvetica" w:hAnsi="Helvetica"/>
          <w:sz w:val="20"/>
          <w:szCs w:val="20"/>
        </w:rPr>
        <w:t xml:space="preserve"> </w:t>
      </w:r>
      <w:r w:rsidRPr="0011541C">
        <w:rPr>
          <w:rFonts w:ascii="Helvetica" w:hAnsi="Helvetica"/>
          <w:sz w:val="20"/>
          <w:szCs w:val="20"/>
        </w:rPr>
        <w:t>actividad ordinaria, es decir el despliegue y explotación de la red de</w:t>
      </w:r>
      <w:r w:rsidR="0011541C">
        <w:rPr>
          <w:rFonts w:ascii="Helvetica" w:hAnsi="Helvetica"/>
          <w:sz w:val="20"/>
          <w:szCs w:val="20"/>
        </w:rPr>
        <w:t xml:space="preserve"> </w:t>
      </w:r>
      <w:r w:rsidRPr="0011541C">
        <w:rPr>
          <w:rFonts w:ascii="Helvetica" w:hAnsi="Helvetica"/>
          <w:sz w:val="20"/>
          <w:szCs w:val="20"/>
        </w:rPr>
        <w:t>telecomunicaciones.</w:t>
      </w:r>
    </w:p>
    <w:p w14:paraId="5F9D92F3" w14:textId="00B914EA" w:rsidR="00646A33" w:rsidRDefault="00746F47" w:rsidP="00646A33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6F47">
        <w:rPr>
          <w:rFonts w:ascii="Helvetica" w:hAnsi="Helvetica"/>
          <w:sz w:val="20"/>
          <w:szCs w:val="20"/>
        </w:rPr>
        <w:t>Los impuestos serán un porcentaje sobre el resultado de explotación.</w:t>
      </w:r>
      <w:r w:rsidRPr="00746F47">
        <w:rPr>
          <w:rFonts w:ascii="Helvetica" w:hAnsi="Helvetica"/>
          <w:sz w:val="20"/>
          <w:szCs w:val="20"/>
        </w:rPr>
        <w:cr/>
      </w:r>
      <w:r w:rsidR="00646A33" w:rsidRPr="00646A33">
        <w:rPr>
          <w:rFonts w:ascii="Helvetica" w:hAnsi="Helvetica"/>
          <w:sz w:val="20"/>
          <w:szCs w:val="20"/>
        </w:rPr>
        <w:t>Por último, y de forma independiente se presentará el mismo cálculo, pero incluyendo el</w:t>
      </w:r>
      <w:r w:rsidR="00646A33">
        <w:rPr>
          <w:rFonts w:ascii="Helvetica" w:hAnsi="Helvetica"/>
          <w:sz w:val="20"/>
          <w:szCs w:val="20"/>
        </w:rPr>
        <w:t xml:space="preserve"> </w:t>
      </w:r>
      <w:r w:rsidR="00646A33" w:rsidRPr="00646A33">
        <w:rPr>
          <w:rFonts w:ascii="Helvetica" w:hAnsi="Helvetica"/>
          <w:sz w:val="20"/>
          <w:szCs w:val="20"/>
        </w:rPr>
        <w:t>efecto de la ayuda como inyección de liquidez recibida al comienzo del periodo de</w:t>
      </w:r>
      <w:r w:rsidR="00646A33">
        <w:rPr>
          <w:rFonts w:ascii="Helvetica" w:hAnsi="Helvetica"/>
          <w:sz w:val="20"/>
          <w:szCs w:val="20"/>
        </w:rPr>
        <w:t xml:space="preserve"> </w:t>
      </w:r>
      <w:r w:rsidR="00646A33" w:rsidRPr="00646A33">
        <w:rPr>
          <w:rFonts w:ascii="Helvetica" w:hAnsi="Helvetica"/>
          <w:sz w:val="20"/>
          <w:szCs w:val="20"/>
        </w:rPr>
        <w:t>ejecución del proyecto.</w:t>
      </w:r>
    </w:p>
    <w:p w14:paraId="38301FC3" w14:textId="35076D00" w:rsidR="00646A33" w:rsidRPr="00646A33" w:rsidRDefault="00646A33" w:rsidP="00646A33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646A33">
        <w:rPr>
          <w:rFonts w:ascii="Helvetica" w:hAnsi="Helvetica"/>
          <w:sz w:val="20"/>
          <w:szCs w:val="20"/>
        </w:rPr>
        <w:t>Se realizará un análisis de sensibilidad con respecto a las estimaciones de demanda que</w:t>
      </w:r>
      <w:r>
        <w:rPr>
          <w:rFonts w:ascii="Helvetica" w:hAnsi="Helvetica"/>
          <w:sz w:val="20"/>
          <w:szCs w:val="20"/>
        </w:rPr>
        <w:t xml:space="preserve"> </w:t>
      </w:r>
      <w:r w:rsidRPr="00646A33">
        <w:rPr>
          <w:rFonts w:ascii="Helvetica" w:hAnsi="Helvetica"/>
          <w:sz w:val="20"/>
          <w:szCs w:val="20"/>
        </w:rPr>
        <w:t>contemple varios escenarios junto con la probabilidad de su ocurrencia.</w:t>
      </w:r>
    </w:p>
    <w:p w14:paraId="16984039" w14:textId="45D5AB30" w:rsidR="00646A33" w:rsidRDefault="00646A33" w:rsidP="00646A33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646A33">
        <w:rPr>
          <w:rFonts w:ascii="Helvetica" w:hAnsi="Helvetica"/>
          <w:sz w:val="20"/>
          <w:szCs w:val="20"/>
        </w:rPr>
        <w:t>Las previsiones de demanda y de ingresos y gastos aportados serán la base del análisis</w:t>
      </w:r>
      <w:r>
        <w:rPr>
          <w:rFonts w:ascii="Helvetica" w:hAnsi="Helvetica"/>
          <w:sz w:val="20"/>
          <w:szCs w:val="20"/>
        </w:rPr>
        <w:t xml:space="preserve"> </w:t>
      </w:r>
      <w:r w:rsidRPr="00646A33">
        <w:rPr>
          <w:rFonts w:ascii="Helvetica" w:hAnsi="Helvetica"/>
          <w:sz w:val="20"/>
          <w:szCs w:val="20"/>
        </w:rPr>
        <w:t>sobre la posible existencia de sobrecompensación que, en su caso, de acuerdo con lo que</w:t>
      </w:r>
      <w:r>
        <w:rPr>
          <w:rFonts w:ascii="Helvetica" w:hAnsi="Helvetica"/>
          <w:sz w:val="20"/>
          <w:szCs w:val="20"/>
        </w:rPr>
        <w:t xml:space="preserve"> </w:t>
      </w:r>
      <w:r w:rsidRPr="00646A33">
        <w:rPr>
          <w:rFonts w:ascii="Helvetica" w:hAnsi="Helvetica"/>
          <w:sz w:val="20"/>
          <w:szCs w:val="20"/>
        </w:rPr>
        <w:t>se establezca en la resolución de concesión, se lleve a cabo por el órgano encargado del</w:t>
      </w:r>
      <w:r>
        <w:rPr>
          <w:rFonts w:ascii="Helvetica" w:hAnsi="Helvetica"/>
          <w:sz w:val="20"/>
          <w:szCs w:val="20"/>
        </w:rPr>
        <w:t xml:space="preserve"> </w:t>
      </w:r>
      <w:r w:rsidRPr="00646A33">
        <w:rPr>
          <w:rFonts w:ascii="Helvetica" w:hAnsi="Helvetica"/>
          <w:sz w:val="20"/>
          <w:szCs w:val="20"/>
        </w:rPr>
        <w:t>seguimiento de las ayudas.</w:t>
      </w:r>
      <w:r w:rsidRPr="00646A33">
        <w:rPr>
          <w:rFonts w:ascii="Helvetica" w:hAnsi="Helvetica"/>
          <w:sz w:val="20"/>
          <w:szCs w:val="20"/>
        </w:rPr>
        <w:cr/>
      </w:r>
    </w:p>
    <w:p w14:paraId="311539DD" w14:textId="16599C91" w:rsidR="00FB6DBD" w:rsidRDefault="00FB6DBD" w:rsidP="00646A33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305617B6" w14:textId="25934117" w:rsidR="00FB6DBD" w:rsidRPr="00FB6DBD" w:rsidRDefault="00FB6DBD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FB6DBD">
        <w:rPr>
          <w:rFonts w:ascii="Helvetica" w:hAnsi="Helvetica"/>
          <w:sz w:val="20"/>
          <w:szCs w:val="20"/>
          <w:u w:val="single"/>
        </w:rPr>
        <w:t>Justificación de la necesidad de la ayuda</w:t>
      </w:r>
    </w:p>
    <w:p w14:paraId="06DF6231" w14:textId="7F5B447E" w:rsidR="00FB6DBD" w:rsidRDefault="00FB6DBD" w:rsidP="00FB6DBD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FB6DBD">
        <w:rPr>
          <w:rFonts w:ascii="Helvetica" w:hAnsi="Helvetica"/>
          <w:sz w:val="20"/>
          <w:szCs w:val="20"/>
        </w:rPr>
        <w:t>Se motivará la necesidad de la ayuda a través del análisis de sensibilidad de los resultados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del proyecto a largo plazo (10 años), en función de previsiones sobre la evolución de las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principales variables, contemplando varios escenarios y la probabilidad de que cada uno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de ellos ocurra. Dicha necesidad deberá reflejarse en la existencia de un déficit comercial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o baja rentabilidad a largo plazo que impida la ejecución del proyecto en este momento y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será expresada en base a ratios como costes de oportunidad, coste medio de capital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(WACC), tasa interna de retorno, valor actual neto y plazo de recuperación de la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inversión.</w:t>
      </w:r>
    </w:p>
    <w:p w14:paraId="6B5F9EE4" w14:textId="77777777" w:rsidR="00FB6DBD" w:rsidRPr="00FB6DBD" w:rsidRDefault="00FB6DBD" w:rsidP="00FB6DBD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42C6AD85" w14:textId="620BAE5B" w:rsidR="00FB6DBD" w:rsidRPr="00FB6DBD" w:rsidRDefault="00FB6DBD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FB6DBD">
        <w:rPr>
          <w:rFonts w:ascii="Helvetica" w:hAnsi="Helvetica"/>
          <w:sz w:val="20"/>
          <w:szCs w:val="20"/>
          <w:u w:val="single"/>
        </w:rPr>
        <w:t>Características de los servicios de acceso mayorista</w:t>
      </w:r>
    </w:p>
    <w:p w14:paraId="06D832E2" w14:textId="062B2F93" w:rsidR="00FB6DBD" w:rsidRDefault="00FB6DBD" w:rsidP="00FB6DBD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FB6DBD">
        <w:rPr>
          <w:rFonts w:ascii="Helvetica" w:hAnsi="Helvetica"/>
          <w:sz w:val="20"/>
          <w:szCs w:val="20"/>
        </w:rPr>
        <w:t>De acuerdo con lo establecido en el artículo 7 de las bases reguladoras, el detalle de la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oferta mayorista deberá estar disponible para los terceros operadores interesados con un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tiempo de antelación suficiente al inicio de la explotación minorista de la red NGA por el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beneficiario. Cuando el beneficiario sea un operador integrado verticalmente, el acceso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debe poder ser concedido al menos 6 meses antes de iniciar la prestación de los servicios</w:t>
      </w:r>
      <w:r>
        <w:rPr>
          <w:rFonts w:ascii="Helvetica" w:hAnsi="Helvetica"/>
          <w:sz w:val="20"/>
          <w:szCs w:val="20"/>
        </w:rPr>
        <w:t xml:space="preserve"> </w:t>
      </w:r>
      <w:r w:rsidRPr="00FB6DBD">
        <w:rPr>
          <w:rFonts w:ascii="Helvetica" w:hAnsi="Helvetica"/>
          <w:sz w:val="20"/>
          <w:szCs w:val="20"/>
        </w:rPr>
        <w:t>minoristas.</w:t>
      </w:r>
      <w:r w:rsidRPr="00FB6DBD">
        <w:rPr>
          <w:rFonts w:ascii="Helvetica" w:hAnsi="Helvetica"/>
          <w:sz w:val="20"/>
          <w:szCs w:val="20"/>
        </w:rPr>
        <w:cr/>
      </w:r>
    </w:p>
    <w:p w14:paraId="6F35DD20" w14:textId="14A96702" w:rsidR="007425E5" w:rsidRDefault="007425E5" w:rsidP="007425E5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25E5">
        <w:rPr>
          <w:rFonts w:ascii="Helvetica" w:hAnsi="Helvetica"/>
          <w:sz w:val="20"/>
          <w:szCs w:val="20"/>
        </w:rPr>
        <w:lastRenderedPageBreak/>
        <w:t>En la Memoria se deberán describir todos los productos de acceso mayorista que se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vayan a ofrecer, tales como: tipos de acceso mayorista de desagregación virtual (activo),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indicando el punto de interconexión; acceso mayorista efectivo a las infraestructuras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(fibra oscura, conductos, postes, armarios, arquetas y demás elementos de obra civil);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acceso mayorista de líneas alquiladas o circuitos punto a punto, en caso de incluir enlaces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de “backhaul”. Para cada uno de ellos, se especificarán los precios, plazos y demás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condiciones de contratación, así como las facilidades de información contempladas.</w:t>
      </w:r>
    </w:p>
    <w:p w14:paraId="41E17877" w14:textId="77777777" w:rsidR="007425E5" w:rsidRPr="007425E5" w:rsidRDefault="007425E5" w:rsidP="007425E5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00710AF1" w14:textId="04EBDD83" w:rsidR="007425E5" w:rsidRPr="007425E5" w:rsidRDefault="007425E5" w:rsidP="00AB2EFB">
      <w:pPr>
        <w:pStyle w:val="Default"/>
        <w:keepLines/>
        <w:numPr>
          <w:ilvl w:val="0"/>
          <w:numId w:val="4"/>
        </w:numPr>
        <w:spacing w:line="360" w:lineRule="auto"/>
        <w:jc w:val="both"/>
        <w:rPr>
          <w:rFonts w:ascii="Helvetica" w:hAnsi="Helvetica"/>
          <w:sz w:val="20"/>
          <w:szCs w:val="20"/>
          <w:u w:val="single"/>
        </w:rPr>
      </w:pPr>
      <w:r w:rsidRPr="007425E5">
        <w:rPr>
          <w:rFonts w:ascii="Helvetica" w:hAnsi="Helvetica"/>
          <w:sz w:val="20"/>
          <w:szCs w:val="20"/>
          <w:u w:val="single"/>
        </w:rPr>
        <w:t>Aprovechamiento de infraestructuras.</w:t>
      </w:r>
    </w:p>
    <w:p w14:paraId="41CCCA0F" w14:textId="6DB94FD5" w:rsidR="007425E5" w:rsidRPr="00A816FF" w:rsidRDefault="007425E5" w:rsidP="007425E5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7425E5">
        <w:rPr>
          <w:rFonts w:ascii="Helvetica" w:hAnsi="Helvetica"/>
          <w:sz w:val="20"/>
          <w:szCs w:val="20"/>
        </w:rPr>
        <w:t>Se facilitará el alcance y las principales conclusiones del análisis de reutilización de otras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>infraestructuras que, en su caso, se haya realizado con carácter previo a la definición del</w:t>
      </w:r>
      <w:r>
        <w:rPr>
          <w:rFonts w:ascii="Helvetica" w:hAnsi="Helvetica"/>
          <w:sz w:val="20"/>
          <w:szCs w:val="20"/>
        </w:rPr>
        <w:t xml:space="preserve"> </w:t>
      </w:r>
      <w:r w:rsidRPr="007425E5">
        <w:rPr>
          <w:rFonts w:ascii="Helvetica" w:hAnsi="Helvetica"/>
          <w:sz w:val="20"/>
          <w:szCs w:val="20"/>
        </w:rPr>
        <w:t xml:space="preserve">proyecto, así como el grado de aprovechamiento finalmente incluido en el mismo. </w:t>
      </w:r>
      <w:r w:rsidRPr="007425E5">
        <w:rPr>
          <w:rFonts w:ascii="Helvetica" w:hAnsi="Helvetica"/>
          <w:sz w:val="20"/>
          <w:szCs w:val="20"/>
        </w:rPr>
        <w:cr/>
      </w:r>
    </w:p>
    <w:p w14:paraId="4FC00E87" w14:textId="77777777" w:rsidR="00204D1F" w:rsidRDefault="00204D1F" w:rsidP="00096D75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sectPr w:rsidR="00204D1F" w:rsidSect="007D5DBF">
      <w:headerReference w:type="default" r:id="rId14"/>
      <w:footerReference w:type="default" r:id="rId15"/>
      <w:pgSz w:w="11906" w:h="16838"/>
      <w:pgMar w:top="1417" w:right="1701" w:bottom="1417" w:left="1701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D0CF" w14:textId="77777777" w:rsidR="00E2464F" w:rsidRDefault="00E2464F" w:rsidP="008776AF">
      <w:pPr>
        <w:spacing w:after="0" w:line="240" w:lineRule="auto"/>
      </w:pPr>
      <w:r>
        <w:separator/>
      </w:r>
    </w:p>
  </w:endnote>
  <w:endnote w:type="continuationSeparator" w:id="0">
    <w:p w14:paraId="77237585" w14:textId="77777777" w:rsidR="00E2464F" w:rsidRDefault="00E2464F" w:rsidP="008776AF">
      <w:pPr>
        <w:spacing w:after="0" w:line="240" w:lineRule="auto"/>
      </w:pPr>
      <w:r>
        <w:continuationSeparator/>
      </w:r>
    </w:p>
  </w:endnote>
  <w:endnote w:type="continuationNotice" w:id="1">
    <w:p w14:paraId="597E3746" w14:textId="77777777" w:rsidR="00E2464F" w:rsidRDefault="00E246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85338456"/>
      <w:docPartObj>
        <w:docPartGallery w:val="Page Numbers (Bottom of Page)"/>
        <w:docPartUnique/>
      </w:docPartObj>
    </w:sdtPr>
    <w:sdtEndPr>
      <w:rPr>
        <w:rFonts w:ascii="Helvetica" w:hAnsi="Helvetica"/>
        <w:sz w:val="16"/>
        <w:szCs w:val="16"/>
      </w:rPr>
    </w:sdtEndPr>
    <w:sdtContent>
      <w:sdt>
        <w:sdtPr>
          <w:rPr>
            <w:sz w:val="20"/>
            <w:szCs w:val="20"/>
          </w:rPr>
          <w:id w:val="322623991"/>
          <w:docPartObj>
            <w:docPartGallery w:val="Page Numbers (Bottom of Page)"/>
            <w:docPartUnique/>
          </w:docPartObj>
        </w:sdtPr>
        <w:sdtEndPr/>
        <w:sdtContent>
          <w:p w14:paraId="4489251E" w14:textId="236E454F" w:rsidR="00B913A7" w:rsidRPr="00716641" w:rsidRDefault="00B913A7" w:rsidP="002E5F57">
            <w:pPr>
              <w:pStyle w:val="Piedepgina"/>
              <w:spacing w:before="240"/>
              <w:jc w:val="center"/>
              <w:rPr>
                <w:rFonts w:ascii="Helvetica" w:hAnsi="Helvetica"/>
                <w:sz w:val="16"/>
                <w:szCs w:val="20"/>
              </w:rPr>
            </w:pPr>
            <w:r w:rsidRPr="00716641">
              <w:rPr>
                <w:rFonts w:ascii="Helvetica" w:hAnsi="Helvetica"/>
                <w:sz w:val="16"/>
                <w:szCs w:val="16"/>
              </w:rPr>
              <w:t>PÁG</w:t>
            </w:r>
            <w:r w:rsidRPr="00716641">
              <w:rPr>
                <w:rFonts w:ascii="Helvetica" w:hAnsi="Helvetica"/>
                <w:sz w:val="16"/>
                <w:szCs w:val="20"/>
              </w:rPr>
              <w:t xml:space="preserve">. </w: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begin"/>
            </w:r>
            <w:r w:rsidRPr="00716641">
              <w:rPr>
                <w:rFonts w:ascii="Helvetica" w:hAnsi="Helvetica"/>
                <w:sz w:val="16"/>
                <w:szCs w:val="20"/>
              </w:rPr>
              <w:instrText>PAGE   \* MERGEFORMAT</w:instrTex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separate"/>
            </w:r>
            <w:r w:rsidR="007E5CF3">
              <w:rPr>
                <w:rFonts w:ascii="Helvetica" w:hAnsi="Helvetica"/>
                <w:noProof/>
                <w:sz w:val="16"/>
                <w:szCs w:val="20"/>
              </w:rPr>
              <w:t>1</w: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B3F2" w14:textId="77777777" w:rsidR="00E2464F" w:rsidRDefault="00E2464F" w:rsidP="008776AF">
      <w:pPr>
        <w:spacing w:after="0" w:line="240" w:lineRule="auto"/>
      </w:pPr>
      <w:r>
        <w:separator/>
      </w:r>
    </w:p>
  </w:footnote>
  <w:footnote w:type="continuationSeparator" w:id="0">
    <w:p w14:paraId="087EBD4E" w14:textId="77777777" w:rsidR="00E2464F" w:rsidRDefault="00E2464F" w:rsidP="008776AF">
      <w:pPr>
        <w:spacing w:after="0" w:line="240" w:lineRule="auto"/>
      </w:pPr>
      <w:r>
        <w:continuationSeparator/>
      </w:r>
    </w:p>
  </w:footnote>
  <w:footnote w:type="continuationNotice" w:id="1">
    <w:p w14:paraId="4FA611AD" w14:textId="77777777" w:rsidR="00E2464F" w:rsidRDefault="00E246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478F" w14:textId="7FD69AEE" w:rsidR="00B913A7" w:rsidRDefault="007E5CF3">
    <w:pPr>
      <w:pStyle w:val="Encabezado"/>
    </w:pPr>
    <w:r>
      <w:rPr>
        <w:rFonts w:ascii="Arial" w:hAnsi="Arial" w:cs="Arial"/>
        <w:noProof/>
        <w:sz w:val="6"/>
        <w:szCs w:val="6"/>
        <w:lang w:eastAsia="es-ES"/>
      </w:rPr>
      <w:drawing>
        <wp:anchor distT="0" distB="0" distL="114300" distR="114300" simplePos="0" relativeHeight="251658240" behindDoc="1" locked="0" layoutInCell="1" allowOverlap="1" wp14:anchorId="41905F4D" wp14:editId="56171A8C">
          <wp:simplePos x="0" y="0"/>
          <wp:positionH relativeFrom="column">
            <wp:posOffset>-461524</wp:posOffset>
          </wp:positionH>
          <wp:positionV relativeFrom="paragraph">
            <wp:posOffset>143117</wp:posOffset>
          </wp:positionV>
          <wp:extent cx="1447800" cy="424942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249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13A7">
      <w:rPr>
        <w:noProof/>
      </w:rPr>
      <w:t xml:space="preserve"> </w:t>
    </w:r>
  </w:p>
  <w:tbl>
    <w:tblPr>
      <w:tblStyle w:val="Tablaconcuadrcula"/>
      <w:tblW w:w="86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18"/>
      <w:gridCol w:w="4123"/>
    </w:tblGrid>
    <w:tr w:rsidR="00B913A7" w14:paraId="5250DC08" w14:textId="77777777" w:rsidTr="00C44176">
      <w:tc>
        <w:tcPr>
          <w:tcW w:w="4518" w:type="dxa"/>
        </w:tcPr>
        <w:tbl>
          <w:tblPr>
            <w:tblStyle w:val="Tablaconcuadrcula"/>
            <w:tblpPr w:leftFromText="141" w:rightFromText="141" w:vertAnchor="text" w:tblpY="1"/>
            <w:tblOverlap w:val="never"/>
            <w:tblW w:w="28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47"/>
          </w:tblGrid>
          <w:tr w:rsidR="00B913A7" w14:paraId="46989706" w14:textId="77777777" w:rsidTr="00C44176">
            <w:tc>
              <w:tcPr>
                <w:tcW w:w="2847" w:type="dxa"/>
                <w:tcMar>
                  <w:left w:w="17" w:type="dxa"/>
                </w:tcMar>
                <w:vAlign w:val="center"/>
              </w:tcPr>
              <w:p w14:paraId="5684FADB" w14:textId="4A42CD9B" w:rsidR="00B913A7" w:rsidRDefault="00B913A7" w:rsidP="00C44176">
                <w:pPr>
                  <w:rPr>
                    <w:rFonts w:ascii="Arial" w:hAnsi="Arial" w:cs="Arial"/>
                    <w:sz w:val="6"/>
                    <w:szCs w:val="6"/>
                  </w:rPr>
                </w:pPr>
              </w:p>
            </w:tc>
          </w:tr>
        </w:tbl>
        <w:p w14:paraId="66E6977F" w14:textId="3C1F3A91" w:rsidR="00B913A7" w:rsidRDefault="00B913A7" w:rsidP="005F1F2F">
          <w:pPr>
            <w:rPr>
              <w:rFonts w:ascii="Arial" w:hAnsi="Arial" w:cs="Arial"/>
              <w:sz w:val="6"/>
              <w:szCs w:val="6"/>
            </w:rPr>
          </w:pPr>
        </w:p>
      </w:tc>
      <w:tc>
        <w:tcPr>
          <w:tcW w:w="4123" w:type="dxa"/>
          <w:vAlign w:val="center"/>
        </w:tcPr>
        <w:tbl>
          <w:tblPr>
            <w:tblStyle w:val="Tablaconcuadrcula"/>
            <w:tblW w:w="412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287"/>
            <w:gridCol w:w="2835"/>
          </w:tblGrid>
          <w:tr w:rsidR="00B913A7" w14:paraId="67E6712A" w14:textId="77777777" w:rsidTr="007D5DBF">
            <w:tc>
              <w:tcPr>
                <w:tcW w:w="1287" w:type="dxa"/>
                <w:tcBorders>
                  <w:right w:val="single" w:sz="8" w:space="0" w:color="7F7F7F" w:themeColor="text1" w:themeTint="80"/>
                </w:tcBorders>
                <w:tcMar>
                  <w:left w:w="0" w:type="dxa"/>
                  <w:right w:w="68" w:type="dxa"/>
                </w:tcMar>
                <w:vAlign w:val="center"/>
              </w:tcPr>
              <w:p w14:paraId="374EC691" w14:textId="10655F2A" w:rsidR="00B913A7" w:rsidRDefault="00B913A7" w:rsidP="005F1F2F">
                <w:pPr>
                  <w:jc w:val="right"/>
                  <w:rPr>
                    <w:rFonts w:ascii="Arial" w:hAnsi="Arial" w:cs="Arial"/>
                    <w:sz w:val="6"/>
                    <w:szCs w:val="6"/>
                  </w:rPr>
                </w:pPr>
              </w:p>
            </w:tc>
            <w:tc>
              <w:tcPr>
                <w:tcW w:w="2835" w:type="dxa"/>
                <w:tcBorders>
                  <w:left w:val="single" w:sz="8" w:space="0" w:color="7F7F7F" w:themeColor="text1" w:themeTint="80"/>
                </w:tcBorders>
                <w:tcMar>
                  <w:left w:w="57" w:type="dxa"/>
                </w:tcMar>
                <w:vAlign w:val="center"/>
              </w:tcPr>
              <w:p w14:paraId="642483F0" w14:textId="1C0092BF" w:rsidR="00B913A7" w:rsidRDefault="007E5CF3" w:rsidP="005F1F2F">
                <w:pPr>
                  <w:rPr>
                    <w:rFonts w:ascii="Arial" w:hAnsi="Arial" w:cs="Arial"/>
                    <w:sz w:val="6"/>
                    <w:szCs w:val="6"/>
                  </w:rPr>
                </w:pPr>
                <w:r>
                  <w:rPr>
                    <w:noProof/>
                    <w:lang w:eastAsia="es-ES"/>
                  </w:rPr>
                  <w:drawing>
                    <wp:anchor distT="0" distB="0" distL="114300" distR="114300" simplePos="0" relativeHeight="251661312" behindDoc="1" locked="0" layoutInCell="1" allowOverlap="1" wp14:anchorId="3298162D" wp14:editId="38A3F786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8255</wp:posOffset>
                      </wp:positionV>
                      <wp:extent cx="661670" cy="327660"/>
                      <wp:effectExtent l="0" t="0" r="5080" b="0"/>
                      <wp:wrapNone/>
                      <wp:docPr id="3" name="Gráfico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3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61670" cy="3276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="00B913A7">
                  <w:rPr>
                    <w:rFonts w:ascii="Arial" w:hAnsi="Arial" w:cs="Arial"/>
                    <w:noProof/>
                    <w:sz w:val="6"/>
                    <w:szCs w:val="6"/>
                    <w:lang w:eastAsia="es-ES"/>
                  </w:rPr>
                  <w:drawing>
                    <wp:anchor distT="0" distB="0" distL="114300" distR="114300" simplePos="0" relativeHeight="251660288" behindDoc="1" locked="0" layoutInCell="1" allowOverlap="1" wp14:anchorId="724A52A5" wp14:editId="79B2F7C8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-19050</wp:posOffset>
                      </wp:positionV>
                      <wp:extent cx="1684020" cy="353060"/>
                      <wp:effectExtent l="0" t="0" r="0" b="8890"/>
                      <wp:wrapNone/>
                      <wp:docPr id="5" name="Imagen 5" descr="Texto&#10;&#10;Descripción generada automá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n 5" descr="Texto&#10;&#10;Descripción generada automáticamente"/>
                              <pic:cNvPicPr/>
                            </pic:nvPicPr>
                            <pic:blipFill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846" t="32641" r="3896" b="329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84020" cy="3530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0E905671" w14:textId="77777777" w:rsidR="00B913A7" w:rsidRDefault="00B913A7" w:rsidP="005F1F2F">
          <w:pPr>
            <w:rPr>
              <w:rFonts w:ascii="Arial" w:hAnsi="Arial" w:cs="Arial"/>
              <w:sz w:val="6"/>
              <w:szCs w:val="6"/>
            </w:rPr>
          </w:pPr>
        </w:p>
      </w:tc>
    </w:tr>
  </w:tbl>
  <w:p w14:paraId="60082856" w14:textId="090A157D" w:rsidR="00B913A7" w:rsidRDefault="007E5CF3" w:rsidP="00611196">
    <w:pPr>
      <w:spacing w:after="0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  <w:lang w:eastAsia="es-ES"/>
      </w:rPr>
      <w:drawing>
        <wp:anchor distT="0" distB="0" distL="114300" distR="114300" simplePos="0" relativeHeight="251659264" behindDoc="1" locked="0" layoutInCell="1" allowOverlap="1" wp14:anchorId="30E93263" wp14:editId="4A365409">
          <wp:simplePos x="0" y="0"/>
          <wp:positionH relativeFrom="column">
            <wp:posOffset>-461010</wp:posOffset>
          </wp:positionH>
          <wp:positionV relativeFrom="paragraph">
            <wp:posOffset>360108</wp:posOffset>
          </wp:positionV>
          <wp:extent cx="581025" cy="753639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ipo_del_Gobierno_de_la_Comunidad_de_Madrid.emf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753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aconcuadrcula"/>
      <w:tblW w:w="63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6095"/>
    </w:tblGrid>
    <w:tr w:rsidR="00B913A7" w:rsidRPr="007E6349" w14:paraId="56850D27" w14:textId="77777777" w:rsidTr="007E5CF3">
      <w:tc>
        <w:tcPr>
          <w:tcW w:w="284" w:type="dxa"/>
        </w:tcPr>
        <w:p w14:paraId="5BD60F3E" w14:textId="3146ED4B" w:rsidR="00B913A7" w:rsidRDefault="00B913A7" w:rsidP="00611196">
          <w:pPr>
            <w:rPr>
              <w:rFonts w:ascii="Arial" w:hAnsi="Arial" w:cs="Arial"/>
              <w:sz w:val="6"/>
              <w:szCs w:val="6"/>
            </w:rPr>
          </w:pPr>
        </w:p>
      </w:tc>
      <w:tc>
        <w:tcPr>
          <w:tcW w:w="6095" w:type="dxa"/>
        </w:tcPr>
        <w:p w14:paraId="45A0E47A" w14:textId="77777777" w:rsidR="007E5CF3" w:rsidRDefault="007E5CF3" w:rsidP="00380A2E">
          <w:pPr>
            <w:spacing w:before="420" w:after="100"/>
            <w:rPr>
              <w:rFonts w:ascii="Arial" w:hAnsi="Arial" w:cs="Arial"/>
              <w:sz w:val="14"/>
              <w:szCs w:val="14"/>
            </w:rPr>
          </w:pPr>
        </w:p>
        <w:p w14:paraId="3E13B0C3" w14:textId="7E66B7AA" w:rsidR="00B913A7" w:rsidRPr="007E6349" w:rsidRDefault="00B913A7" w:rsidP="00380A2E">
          <w:pPr>
            <w:spacing w:before="420" w:after="100"/>
            <w:rPr>
              <w:rFonts w:ascii="Arial" w:hAnsi="Arial" w:cs="Arial"/>
              <w:sz w:val="14"/>
              <w:szCs w:val="14"/>
            </w:rPr>
          </w:pPr>
          <w:r w:rsidRPr="007E6349">
            <w:rPr>
              <w:rFonts w:ascii="Arial" w:hAnsi="Arial" w:cs="Arial"/>
              <w:sz w:val="14"/>
              <w:szCs w:val="14"/>
            </w:rPr>
            <w:t>Dirección General de Política Digital</w:t>
          </w:r>
        </w:p>
        <w:p w14:paraId="509746D4" w14:textId="294DC026" w:rsidR="00B913A7" w:rsidRPr="007E6349" w:rsidRDefault="00B913A7" w:rsidP="00380A2E">
          <w:pPr>
            <w:rPr>
              <w:rFonts w:ascii="Arial" w:hAnsi="Arial" w:cs="Arial"/>
              <w:sz w:val="14"/>
              <w:szCs w:val="14"/>
            </w:rPr>
          </w:pPr>
          <w:r w:rsidRPr="00380A2E">
            <w:rPr>
              <w:rFonts w:ascii="Arial" w:hAnsi="Arial" w:cs="Arial"/>
              <w:b/>
              <w:bCs/>
              <w:sz w:val="14"/>
              <w:szCs w:val="14"/>
            </w:rPr>
            <w:t>CONSEJERÍA DE ADMINISTRACIÓN LOCAL Y DIGITALIZACIÓN</w:t>
          </w:r>
        </w:p>
      </w:tc>
    </w:tr>
  </w:tbl>
  <w:p w14:paraId="2FBDE986" w14:textId="77777777" w:rsidR="00B913A7" w:rsidRPr="003D6D34" w:rsidRDefault="00B913A7" w:rsidP="003D6D34">
    <w:pPr>
      <w:spacing w:after="360"/>
      <w:rPr>
        <w:rFonts w:ascii="Arial" w:hAnsi="Arial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351"/>
    <w:multiLevelType w:val="hybridMultilevel"/>
    <w:tmpl w:val="9D0C6C7E"/>
    <w:lvl w:ilvl="0" w:tplc="B5A64E6E">
      <w:start w:val="1"/>
      <w:numFmt w:val="decimal"/>
      <w:pStyle w:val="1Numsincolor"/>
      <w:lvlText w:val="%1."/>
      <w:lvlJc w:val="left"/>
      <w:pPr>
        <w:ind w:left="241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59595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1037" w:hanging="360"/>
      </w:pPr>
    </w:lvl>
    <w:lvl w:ilvl="2" w:tplc="0C0A001B" w:tentative="1">
      <w:start w:val="1"/>
      <w:numFmt w:val="lowerRoman"/>
      <w:lvlText w:val="%3."/>
      <w:lvlJc w:val="right"/>
      <w:pPr>
        <w:ind w:left="1757" w:hanging="180"/>
      </w:pPr>
    </w:lvl>
    <w:lvl w:ilvl="3" w:tplc="0C0A000F" w:tentative="1">
      <w:start w:val="1"/>
      <w:numFmt w:val="decimal"/>
      <w:lvlText w:val="%4."/>
      <w:lvlJc w:val="left"/>
      <w:pPr>
        <w:ind w:left="2477" w:hanging="360"/>
      </w:pPr>
    </w:lvl>
    <w:lvl w:ilvl="4" w:tplc="0C0A0019" w:tentative="1">
      <w:start w:val="1"/>
      <w:numFmt w:val="lowerLetter"/>
      <w:lvlText w:val="%5."/>
      <w:lvlJc w:val="left"/>
      <w:pPr>
        <w:ind w:left="3197" w:hanging="360"/>
      </w:pPr>
    </w:lvl>
    <w:lvl w:ilvl="5" w:tplc="0C0A001B" w:tentative="1">
      <w:start w:val="1"/>
      <w:numFmt w:val="lowerRoman"/>
      <w:lvlText w:val="%6."/>
      <w:lvlJc w:val="right"/>
      <w:pPr>
        <w:ind w:left="3917" w:hanging="180"/>
      </w:pPr>
    </w:lvl>
    <w:lvl w:ilvl="6" w:tplc="0C0A000F" w:tentative="1">
      <w:start w:val="1"/>
      <w:numFmt w:val="decimal"/>
      <w:lvlText w:val="%7."/>
      <w:lvlJc w:val="left"/>
      <w:pPr>
        <w:ind w:left="4637" w:hanging="360"/>
      </w:pPr>
    </w:lvl>
    <w:lvl w:ilvl="7" w:tplc="0C0A0019" w:tentative="1">
      <w:start w:val="1"/>
      <w:numFmt w:val="lowerLetter"/>
      <w:lvlText w:val="%8."/>
      <w:lvlJc w:val="left"/>
      <w:pPr>
        <w:ind w:left="5357" w:hanging="360"/>
      </w:pPr>
    </w:lvl>
    <w:lvl w:ilvl="8" w:tplc="0C0A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" w15:restartNumberingAfterBreak="0">
    <w:nsid w:val="1A305815"/>
    <w:multiLevelType w:val="hybridMultilevel"/>
    <w:tmpl w:val="F0D6DAD2"/>
    <w:lvl w:ilvl="0" w:tplc="F5D8FA18">
      <w:start w:val="1"/>
      <w:numFmt w:val="lowerLetter"/>
      <w:pStyle w:val="aVietasincolor"/>
      <w:lvlText w:val="%1)"/>
      <w:lvlJc w:val="left"/>
      <w:pPr>
        <w:ind w:left="7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137"/>
    <w:multiLevelType w:val="hybridMultilevel"/>
    <w:tmpl w:val="4DA29D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26066"/>
    <w:multiLevelType w:val="hybridMultilevel"/>
    <w:tmpl w:val="0BC036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6D99"/>
    <w:multiLevelType w:val="hybridMultilevel"/>
    <w:tmpl w:val="907C9210"/>
    <w:lvl w:ilvl="0" w:tplc="70F6F7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6D2273"/>
    <w:multiLevelType w:val="hybridMultilevel"/>
    <w:tmpl w:val="8B4097A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0F11B71"/>
    <w:multiLevelType w:val="hybridMultilevel"/>
    <w:tmpl w:val="053AD8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250F0"/>
    <w:multiLevelType w:val="hybridMultilevel"/>
    <w:tmpl w:val="F32ED4C6"/>
    <w:lvl w:ilvl="0" w:tplc="6E0AD494">
      <w:start w:val="1"/>
      <w:numFmt w:val="lowerLetter"/>
      <w:pStyle w:val="Vietaa"/>
      <w:lvlText w:val="%1)"/>
      <w:lvlJc w:val="left"/>
      <w:pPr>
        <w:ind w:left="372" w:hanging="360"/>
      </w:pPr>
      <w:rPr>
        <w:rFonts w:ascii="Corbel" w:hAnsi="Corbel" w:hint="default"/>
        <w:color w:val="009CC4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92" w:hanging="360"/>
      </w:pPr>
    </w:lvl>
    <w:lvl w:ilvl="2" w:tplc="0C0A001B" w:tentative="1">
      <w:start w:val="1"/>
      <w:numFmt w:val="lowerRoman"/>
      <w:lvlText w:val="%3."/>
      <w:lvlJc w:val="right"/>
      <w:pPr>
        <w:ind w:left="1812" w:hanging="180"/>
      </w:pPr>
    </w:lvl>
    <w:lvl w:ilvl="3" w:tplc="0C0A000F" w:tentative="1">
      <w:start w:val="1"/>
      <w:numFmt w:val="decimal"/>
      <w:lvlText w:val="%4."/>
      <w:lvlJc w:val="left"/>
      <w:pPr>
        <w:ind w:left="2532" w:hanging="360"/>
      </w:pPr>
    </w:lvl>
    <w:lvl w:ilvl="4" w:tplc="0C0A0019" w:tentative="1">
      <w:start w:val="1"/>
      <w:numFmt w:val="lowerLetter"/>
      <w:lvlText w:val="%5."/>
      <w:lvlJc w:val="left"/>
      <w:pPr>
        <w:ind w:left="3252" w:hanging="360"/>
      </w:pPr>
    </w:lvl>
    <w:lvl w:ilvl="5" w:tplc="0C0A001B" w:tentative="1">
      <w:start w:val="1"/>
      <w:numFmt w:val="lowerRoman"/>
      <w:lvlText w:val="%6."/>
      <w:lvlJc w:val="right"/>
      <w:pPr>
        <w:ind w:left="3972" w:hanging="180"/>
      </w:pPr>
    </w:lvl>
    <w:lvl w:ilvl="6" w:tplc="0C0A000F" w:tentative="1">
      <w:start w:val="1"/>
      <w:numFmt w:val="decimal"/>
      <w:lvlText w:val="%7."/>
      <w:lvlJc w:val="left"/>
      <w:pPr>
        <w:ind w:left="4692" w:hanging="360"/>
      </w:pPr>
    </w:lvl>
    <w:lvl w:ilvl="7" w:tplc="0C0A0019" w:tentative="1">
      <w:start w:val="1"/>
      <w:numFmt w:val="lowerLetter"/>
      <w:lvlText w:val="%8."/>
      <w:lvlJc w:val="left"/>
      <w:pPr>
        <w:ind w:left="5412" w:hanging="360"/>
      </w:pPr>
    </w:lvl>
    <w:lvl w:ilvl="8" w:tplc="0C0A001B" w:tentative="1">
      <w:start w:val="1"/>
      <w:numFmt w:val="lowerRoman"/>
      <w:lvlText w:val="%9."/>
      <w:lvlJc w:val="right"/>
      <w:pPr>
        <w:ind w:left="6132" w:hanging="180"/>
      </w:pPr>
    </w:lvl>
  </w:abstractNum>
  <w:num w:numId="1" w16cid:durableId="947733637">
    <w:abstractNumId w:val="7"/>
  </w:num>
  <w:num w:numId="2" w16cid:durableId="981231171">
    <w:abstractNumId w:val="1"/>
  </w:num>
  <w:num w:numId="3" w16cid:durableId="1794901924">
    <w:abstractNumId w:val="0"/>
  </w:num>
  <w:num w:numId="4" w16cid:durableId="2110083015">
    <w:abstractNumId w:val="4"/>
  </w:num>
  <w:num w:numId="5" w16cid:durableId="697656124">
    <w:abstractNumId w:val="5"/>
  </w:num>
  <w:num w:numId="6" w16cid:durableId="654728317">
    <w:abstractNumId w:val="6"/>
  </w:num>
  <w:num w:numId="7" w16cid:durableId="499125529">
    <w:abstractNumId w:val="2"/>
  </w:num>
  <w:num w:numId="8" w16cid:durableId="6634712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3E"/>
    <w:rsid w:val="00000858"/>
    <w:rsid w:val="00006A79"/>
    <w:rsid w:val="00007D4E"/>
    <w:rsid w:val="000154A6"/>
    <w:rsid w:val="00015B43"/>
    <w:rsid w:val="000249B2"/>
    <w:rsid w:val="00037DD0"/>
    <w:rsid w:val="00043D77"/>
    <w:rsid w:val="00046C3C"/>
    <w:rsid w:val="00053A2B"/>
    <w:rsid w:val="00062059"/>
    <w:rsid w:val="000751C3"/>
    <w:rsid w:val="0008107E"/>
    <w:rsid w:val="0008262D"/>
    <w:rsid w:val="000830F0"/>
    <w:rsid w:val="0008369D"/>
    <w:rsid w:val="00087774"/>
    <w:rsid w:val="00092044"/>
    <w:rsid w:val="0009492A"/>
    <w:rsid w:val="00094D33"/>
    <w:rsid w:val="00094F1D"/>
    <w:rsid w:val="00096D75"/>
    <w:rsid w:val="000C2308"/>
    <w:rsid w:val="000C578D"/>
    <w:rsid w:val="000C66F4"/>
    <w:rsid w:val="000D6692"/>
    <w:rsid w:val="000D78DF"/>
    <w:rsid w:val="000E04D8"/>
    <w:rsid w:val="000F383E"/>
    <w:rsid w:val="000F560D"/>
    <w:rsid w:val="000F68FC"/>
    <w:rsid w:val="00100480"/>
    <w:rsid w:val="0010334F"/>
    <w:rsid w:val="00105845"/>
    <w:rsid w:val="00113739"/>
    <w:rsid w:val="0011541C"/>
    <w:rsid w:val="00123DA6"/>
    <w:rsid w:val="00140779"/>
    <w:rsid w:val="00141149"/>
    <w:rsid w:val="00142CBD"/>
    <w:rsid w:val="00152C02"/>
    <w:rsid w:val="00153C5D"/>
    <w:rsid w:val="00154224"/>
    <w:rsid w:val="001559F5"/>
    <w:rsid w:val="00165734"/>
    <w:rsid w:val="00166DFD"/>
    <w:rsid w:val="00167325"/>
    <w:rsid w:val="001743B1"/>
    <w:rsid w:val="00177DF8"/>
    <w:rsid w:val="00192A82"/>
    <w:rsid w:val="001B5067"/>
    <w:rsid w:val="001B7710"/>
    <w:rsid w:val="001C0AC6"/>
    <w:rsid w:val="001C12A1"/>
    <w:rsid w:val="001C7E2F"/>
    <w:rsid w:val="001D43BD"/>
    <w:rsid w:val="001D4A44"/>
    <w:rsid w:val="001E14B5"/>
    <w:rsid w:val="001F0F19"/>
    <w:rsid w:val="001F5F0B"/>
    <w:rsid w:val="00203425"/>
    <w:rsid w:val="00204D1F"/>
    <w:rsid w:val="00213AA4"/>
    <w:rsid w:val="002204E8"/>
    <w:rsid w:val="0022716E"/>
    <w:rsid w:val="00227EF2"/>
    <w:rsid w:val="00244ABC"/>
    <w:rsid w:val="0025127A"/>
    <w:rsid w:val="00253FC2"/>
    <w:rsid w:val="0025594E"/>
    <w:rsid w:val="002610D8"/>
    <w:rsid w:val="0026415A"/>
    <w:rsid w:val="00264CA1"/>
    <w:rsid w:val="00284860"/>
    <w:rsid w:val="00294E59"/>
    <w:rsid w:val="002A2EB7"/>
    <w:rsid w:val="002A568B"/>
    <w:rsid w:val="002A6B62"/>
    <w:rsid w:val="002A77EB"/>
    <w:rsid w:val="002B3779"/>
    <w:rsid w:val="002D59C4"/>
    <w:rsid w:val="002D6596"/>
    <w:rsid w:val="002E5996"/>
    <w:rsid w:val="002E5F57"/>
    <w:rsid w:val="002F77B6"/>
    <w:rsid w:val="002F7BCA"/>
    <w:rsid w:val="00304FCA"/>
    <w:rsid w:val="00320341"/>
    <w:rsid w:val="003252CC"/>
    <w:rsid w:val="0032796E"/>
    <w:rsid w:val="003319C7"/>
    <w:rsid w:val="003332A5"/>
    <w:rsid w:val="00355E96"/>
    <w:rsid w:val="00357E7C"/>
    <w:rsid w:val="003633D5"/>
    <w:rsid w:val="00366773"/>
    <w:rsid w:val="003706A0"/>
    <w:rsid w:val="00380A2E"/>
    <w:rsid w:val="00382FE0"/>
    <w:rsid w:val="0038465E"/>
    <w:rsid w:val="00392435"/>
    <w:rsid w:val="003A043A"/>
    <w:rsid w:val="003A4F2B"/>
    <w:rsid w:val="003A62EC"/>
    <w:rsid w:val="003B5EC9"/>
    <w:rsid w:val="003B71ED"/>
    <w:rsid w:val="003C1579"/>
    <w:rsid w:val="003D10E6"/>
    <w:rsid w:val="003D6D34"/>
    <w:rsid w:val="003D76A9"/>
    <w:rsid w:val="003D76E0"/>
    <w:rsid w:val="003E0037"/>
    <w:rsid w:val="003E0334"/>
    <w:rsid w:val="003E2022"/>
    <w:rsid w:val="003F1C22"/>
    <w:rsid w:val="003F3440"/>
    <w:rsid w:val="003F6303"/>
    <w:rsid w:val="003F6FCA"/>
    <w:rsid w:val="004014C2"/>
    <w:rsid w:val="0040332A"/>
    <w:rsid w:val="00416275"/>
    <w:rsid w:val="00425A99"/>
    <w:rsid w:val="00426D4A"/>
    <w:rsid w:val="004306E5"/>
    <w:rsid w:val="00430FD1"/>
    <w:rsid w:val="00431652"/>
    <w:rsid w:val="00437F6B"/>
    <w:rsid w:val="004426B6"/>
    <w:rsid w:val="00450D28"/>
    <w:rsid w:val="00453603"/>
    <w:rsid w:val="00457218"/>
    <w:rsid w:val="00460165"/>
    <w:rsid w:val="00461339"/>
    <w:rsid w:val="00461BC2"/>
    <w:rsid w:val="00464F3D"/>
    <w:rsid w:val="00491DA1"/>
    <w:rsid w:val="004A2588"/>
    <w:rsid w:val="004B2761"/>
    <w:rsid w:val="004B2D5F"/>
    <w:rsid w:val="004B4D99"/>
    <w:rsid w:val="004C3200"/>
    <w:rsid w:val="004C39F8"/>
    <w:rsid w:val="004D09E8"/>
    <w:rsid w:val="004D1B68"/>
    <w:rsid w:val="004D44BA"/>
    <w:rsid w:val="004D6583"/>
    <w:rsid w:val="004D7019"/>
    <w:rsid w:val="004E2AB7"/>
    <w:rsid w:val="004E7E80"/>
    <w:rsid w:val="004F391D"/>
    <w:rsid w:val="00506D31"/>
    <w:rsid w:val="00517544"/>
    <w:rsid w:val="005250BE"/>
    <w:rsid w:val="00527A32"/>
    <w:rsid w:val="00536A72"/>
    <w:rsid w:val="00537DA7"/>
    <w:rsid w:val="005540D2"/>
    <w:rsid w:val="005545A8"/>
    <w:rsid w:val="005551BC"/>
    <w:rsid w:val="00561AEC"/>
    <w:rsid w:val="0056243A"/>
    <w:rsid w:val="0056425D"/>
    <w:rsid w:val="00565BF5"/>
    <w:rsid w:val="00571FF5"/>
    <w:rsid w:val="00581533"/>
    <w:rsid w:val="00584BA4"/>
    <w:rsid w:val="00596145"/>
    <w:rsid w:val="005A30BD"/>
    <w:rsid w:val="005B2424"/>
    <w:rsid w:val="005B3E27"/>
    <w:rsid w:val="005B6864"/>
    <w:rsid w:val="005C08DB"/>
    <w:rsid w:val="005C26A6"/>
    <w:rsid w:val="005D0090"/>
    <w:rsid w:val="005D471A"/>
    <w:rsid w:val="005D501B"/>
    <w:rsid w:val="005D6016"/>
    <w:rsid w:val="005E6E49"/>
    <w:rsid w:val="005F0A3B"/>
    <w:rsid w:val="005F1B80"/>
    <w:rsid w:val="005F1F2F"/>
    <w:rsid w:val="00605ADB"/>
    <w:rsid w:val="006075A9"/>
    <w:rsid w:val="006078E4"/>
    <w:rsid w:val="006101C9"/>
    <w:rsid w:val="00611196"/>
    <w:rsid w:val="00611EA2"/>
    <w:rsid w:val="00615E48"/>
    <w:rsid w:val="00616951"/>
    <w:rsid w:val="00634A9D"/>
    <w:rsid w:val="0064090D"/>
    <w:rsid w:val="00645213"/>
    <w:rsid w:val="006455F8"/>
    <w:rsid w:val="00646312"/>
    <w:rsid w:val="00646A33"/>
    <w:rsid w:val="00657671"/>
    <w:rsid w:val="00664F4B"/>
    <w:rsid w:val="00672B56"/>
    <w:rsid w:val="0068092B"/>
    <w:rsid w:val="00683E6E"/>
    <w:rsid w:val="006876C4"/>
    <w:rsid w:val="006912F8"/>
    <w:rsid w:val="00691F2E"/>
    <w:rsid w:val="00695D40"/>
    <w:rsid w:val="006A63FE"/>
    <w:rsid w:val="006B696B"/>
    <w:rsid w:val="006C07D8"/>
    <w:rsid w:val="006C2B15"/>
    <w:rsid w:val="006C4B4F"/>
    <w:rsid w:val="006F21EC"/>
    <w:rsid w:val="006F7B61"/>
    <w:rsid w:val="006F7BA4"/>
    <w:rsid w:val="0071061E"/>
    <w:rsid w:val="00716641"/>
    <w:rsid w:val="007173D0"/>
    <w:rsid w:val="007269CC"/>
    <w:rsid w:val="007425E5"/>
    <w:rsid w:val="00743507"/>
    <w:rsid w:val="00743CB4"/>
    <w:rsid w:val="00746F47"/>
    <w:rsid w:val="00755210"/>
    <w:rsid w:val="007564BA"/>
    <w:rsid w:val="00757190"/>
    <w:rsid w:val="0076705D"/>
    <w:rsid w:val="007763B4"/>
    <w:rsid w:val="00777859"/>
    <w:rsid w:val="007A2FD0"/>
    <w:rsid w:val="007B6936"/>
    <w:rsid w:val="007C3909"/>
    <w:rsid w:val="007C43CF"/>
    <w:rsid w:val="007C4EF0"/>
    <w:rsid w:val="007C54D6"/>
    <w:rsid w:val="007C612F"/>
    <w:rsid w:val="007C7D1E"/>
    <w:rsid w:val="007D409E"/>
    <w:rsid w:val="007D4D4C"/>
    <w:rsid w:val="007D5DBF"/>
    <w:rsid w:val="007D6466"/>
    <w:rsid w:val="007E0053"/>
    <w:rsid w:val="007E0874"/>
    <w:rsid w:val="007E51FE"/>
    <w:rsid w:val="007E5CF3"/>
    <w:rsid w:val="007E6703"/>
    <w:rsid w:val="007E76C5"/>
    <w:rsid w:val="0080355D"/>
    <w:rsid w:val="00807E51"/>
    <w:rsid w:val="00816B06"/>
    <w:rsid w:val="008258CB"/>
    <w:rsid w:val="00825D6A"/>
    <w:rsid w:val="008301C3"/>
    <w:rsid w:val="00832410"/>
    <w:rsid w:val="008436F1"/>
    <w:rsid w:val="00844DDD"/>
    <w:rsid w:val="00852BFE"/>
    <w:rsid w:val="00856380"/>
    <w:rsid w:val="00862127"/>
    <w:rsid w:val="00863483"/>
    <w:rsid w:val="00865281"/>
    <w:rsid w:val="00867290"/>
    <w:rsid w:val="00870723"/>
    <w:rsid w:val="0087596C"/>
    <w:rsid w:val="008776AF"/>
    <w:rsid w:val="00881AE2"/>
    <w:rsid w:val="008876C7"/>
    <w:rsid w:val="00887C9A"/>
    <w:rsid w:val="00891FC1"/>
    <w:rsid w:val="00894E79"/>
    <w:rsid w:val="0089588E"/>
    <w:rsid w:val="008A4A23"/>
    <w:rsid w:val="008A567C"/>
    <w:rsid w:val="008A73DA"/>
    <w:rsid w:val="008A7A70"/>
    <w:rsid w:val="008B20FA"/>
    <w:rsid w:val="008B352A"/>
    <w:rsid w:val="008B5DC8"/>
    <w:rsid w:val="008C00D1"/>
    <w:rsid w:val="008C1090"/>
    <w:rsid w:val="008C17B8"/>
    <w:rsid w:val="008D7C62"/>
    <w:rsid w:val="008E1626"/>
    <w:rsid w:val="008E3F11"/>
    <w:rsid w:val="008E671C"/>
    <w:rsid w:val="008F0828"/>
    <w:rsid w:val="00904A3C"/>
    <w:rsid w:val="00910C06"/>
    <w:rsid w:val="00917BC1"/>
    <w:rsid w:val="009344E6"/>
    <w:rsid w:val="00934A60"/>
    <w:rsid w:val="00937172"/>
    <w:rsid w:val="00940A17"/>
    <w:rsid w:val="0094383E"/>
    <w:rsid w:val="009518BA"/>
    <w:rsid w:val="00962C97"/>
    <w:rsid w:val="0096399D"/>
    <w:rsid w:val="009738FD"/>
    <w:rsid w:val="00975C13"/>
    <w:rsid w:val="00975C77"/>
    <w:rsid w:val="0097638A"/>
    <w:rsid w:val="00980B7B"/>
    <w:rsid w:val="00983AFF"/>
    <w:rsid w:val="0098660F"/>
    <w:rsid w:val="009915C2"/>
    <w:rsid w:val="00993A07"/>
    <w:rsid w:val="00994113"/>
    <w:rsid w:val="009A16A7"/>
    <w:rsid w:val="009A202F"/>
    <w:rsid w:val="009A2D3E"/>
    <w:rsid w:val="009A42FD"/>
    <w:rsid w:val="009A588B"/>
    <w:rsid w:val="009B28A8"/>
    <w:rsid w:val="009B69DC"/>
    <w:rsid w:val="009C5BE3"/>
    <w:rsid w:val="009C6C13"/>
    <w:rsid w:val="009D1A9F"/>
    <w:rsid w:val="009E066C"/>
    <w:rsid w:val="009E092E"/>
    <w:rsid w:val="009F17F0"/>
    <w:rsid w:val="009F1E10"/>
    <w:rsid w:val="009F3C87"/>
    <w:rsid w:val="009F4B61"/>
    <w:rsid w:val="00A11440"/>
    <w:rsid w:val="00A2330A"/>
    <w:rsid w:val="00A3037A"/>
    <w:rsid w:val="00A363C5"/>
    <w:rsid w:val="00A37B5B"/>
    <w:rsid w:val="00A41D4D"/>
    <w:rsid w:val="00A459CE"/>
    <w:rsid w:val="00A5286E"/>
    <w:rsid w:val="00A62AE6"/>
    <w:rsid w:val="00A66D69"/>
    <w:rsid w:val="00A66D73"/>
    <w:rsid w:val="00A73F40"/>
    <w:rsid w:val="00A76A34"/>
    <w:rsid w:val="00A77765"/>
    <w:rsid w:val="00A816FF"/>
    <w:rsid w:val="00A846C6"/>
    <w:rsid w:val="00A932E7"/>
    <w:rsid w:val="00AB2D47"/>
    <w:rsid w:val="00AB2EFB"/>
    <w:rsid w:val="00AE51E4"/>
    <w:rsid w:val="00AE7C93"/>
    <w:rsid w:val="00AF19FD"/>
    <w:rsid w:val="00AF336A"/>
    <w:rsid w:val="00AF51A2"/>
    <w:rsid w:val="00AF7D03"/>
    <w:rsid w:val="00B10F8E"/>
    <w:rsid w:val="00B11222"/>
    <w:rsid w:val="00B126BC"/>
    <w:rsid w:val="00B21DC8"/>
    <w:rsid w:val="00B26F3C"/>
    <w:rsid w:val="00B40817"/>
    <w:rsid w:val="00B52162"/>
    <w:rsid w:val="00B6491A"/>
    <w:rsid w:val="00B72383"/>
    <w:rsid w:val="00B84C42"/>
    <w:rsid w:val="00B913A7"/>
    <w:rsid w:val="00B93BF1"/>
    <w:rsid w:val="00B966C2"/>
    <w:rsid w:val="00BB0985"/>
    <w:rsid w:val="00BB47FC"/>
    <w:rsid w:val="00BC497D"/>
    <w:rsid w:val="00BC7CD5"/>
    <w:rsid w:val="00BD37C8"/>
    <w:rsid w:val="00BE3D72"/>
    <w:rsid w:val="00BE5621"/>
    <w:rsid w:val="00BE56ED"/>
    <w:rsid w:val="00BF3012"/>
    <w:rsid w:val="00C00119"/>
    <w:rsid w:val="00C0316F"/>
    <w:rsid w:val="00C032BB"/>
    <w:rsid w:val="00C03EA5"/>
    <w:rsid w:val="00C04627"/>
    <w:rsid w:val="00C07816"/>
    <w:rsid w:val="00C26407"/>
    <w:rsid w:val="00C35140"/>
    <w:rsid w:val="00C36535"/>
    <w:rsid w:val="00C37573"/>
    <w:rsid w:val="00C411CC"/>
    <w:rsid w:val="00C44176"/>
    <w:rsid w:val="00C50CDB"/>
    <w:rsid w:val="00C61787"/>
    <w:rsid w:val="00C62FB4"/>
    <w:rsid w:val="00C6631D"/>
    <w:rsid w:val="00C73464"/>
    <w:rsid w:val="00C7374B"/>
    <w:rsid w:val="00C841E3"/>
    <w:rsid w:val="00C853BA"/>
    <w:rsid w:val="00C862AD"/>
    <w:rsid w:val="00C87E5C"/>
    <w:rsid w:val="00C91D6A"/>
    <w:rsid w:val="00C97529"/>
    <w:rsid w:val="00CA2AED"/>
    <w:rsid w:val="00CA4BBA"/>
    <w:rsid w:val="00CA5B7C"/>
    <w:rsid w:val="00CB4F78"/>
    <w:rsid w:val="00CC1E1A"/>
    <w:rsid w:val="00CC5234"/>
    <w:rsid w:val="00CC5577"/>
    <w:rsid w:val="00CC6554"/>
    <w:rsid w:val="00CD41CC"/>
    <w:rsid w:val="00CF5294"/>
    <w:rsid w:val="00CF6952"/>
    <w:rsid w:val="00D01537"/>
    <w:rsid w:val="00D06172"/>
    <w:rsid w:val="00D14641"/>
    <w:rsid w:val="00D16089"/>
    <w:rsid w:val="00D2657D"/>
    <w:rsid w:val="00D27CEC"/>
    <w:rsid w:val="00D35E73"/>
    <w:rsid w:val="00D36273"/>
    <w:rsid w:val="00D40C41"/>
    <w:rsid w:val="00D40F6E"/>
    <w:rsid w:val="00D43CF2"/>
    <w:rsid w:val="00D47E0F"/>
    <w:rsid w:val="00D861F0"/>
    <w:rsid w:val="00DA344D"/>
    <w:rsid w:val="00DB5FAD"/>
    <w:rsid w:val="00DB6065"/>
    <w:rsid w:val="00DC0D7E"/>
    <w:rsid w:val="00DC1B53"/>
    <w:rsid w:val="00DC4546"/>
    <w:rsid w:val="00DC740B"/>
    <w:rsid w:val="00DD052A"/>
    <w:rsid w:val="00DD068E"/>
    <w:rsid w:val="00DD5887"/>
    <w:rsid w:val="00DD7E1B"/>
    <w:rsid w:val="00DE4C7D"/>
    <w:rsid w:val="00E00AA7"/>
    <w:rsid w:val="00E04C73"/>
    <w:rsid w:val="00E10D7D"/>
    <w:rsid w:val="00E12842"/>
    <w:rsid w:val="00E12DB9"/>
    <w:rsid w:val="00E16D64"/>
    <w:rsid w:val="00E2464F"/>
    <w:rsid w:val="00E5788A"/>
    <w:rsid w:val="00E57BB5"/>
    <w:rsid w:val="00E7169E"/>
    <w:rsid w:val="00E72E51"/>
    <w:rsid w:val="00E76835"/>
    <w:rsid w:val="00E8163B"/>
    <w:rsid w:val="00E82AC8"/>
    <w:rsid w:val="00E87B19"/>
    <w:rsid w:val="00E91FA1"/>
    <w:rsid w:val="00E9334B"/>
    <w:rsid w:val="00EA1125"/>
    <w:rsid w:val="00EA7D41"/>
    <w:rsid w:val="00EB07A2"/>
    <w:rsid w:val="00EB0DA8"/>
    <w:rsid w:val="00EB21B3"/>
    <w:rsid w:val="00EB258C"/>
    <w:rsid w:val="00ED25CA"/>
    <w:rsid w:val="00ED74A6"/>
    <w:rsid w:val="00EE3197"/>
    <w:rsid w:val="00F30074"/>
    <w:rsid w:val="00F414FE"/>
    <w:rsid w:val="00F41722"/>
    <w:rsid w:val="00F41A13"/>
    <w:rsid w:val="00F53431"/>
    <w:rsid w:val="00F611E0"/>
    <w:rsid w:val="00F62044"/>
    <w:rsid w:val="00F66235"/>
    <w:rsid w:val="00F81844"/>
    <w:rsid w:val="00F84C4B"/>
    <w:rsid w:val="00FA7E11"/>
    <w:rsid w:val="00FB676D"/>
    <w:rsid w:val="00FB6DBD"/>
    <w:rsid w:val="00FC10C2"/>
    <w:rsid w:val="00FC2100"/>
    <w:rsid w:val="00FC2BFA"/>
    <w:rsid w:val="00FC5F8F"/>
    <w:rsid w:val="00FC70C1"/>
    <w:rsid w:val="00FD12DB"/>
    <w:rsid w:val="00FE65AD"/>
    <w:rsid w:val="00FF0807"/>
    <w:rsid w:val="00F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E949B"/>
  <w15:chartTrackingRefBased/>
  <w15:docId w15:val="{E430EB1C-490D-4454-B279-D0A73996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32410"/>
    <w:pPr>
      <w:widowControl w:val="0"/>
      <w:autoSpaceDE w:val="0"/>
      <w:autoSpaceDN w:val="0"/>
      <w:spacing w:after="0" w:line="240" w:lineRule="auto"/>
      <w:ind w:left="1584" w:firstLine="340"/>
      <w:jc w:val="both"/>
    </w:pPr>
    <w:rPr>
      <w:rFonts w:ascii="Arial MT" w:eastAsia="Arial MT" w:hAnsi="Arial MT" w:cs="Arial MT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32410"/>
    <w:rPr>
      <w:rFonts w:ascii="Arial MT" w:eastAsia="Arial MT" w:hAnsi="Arial MT" w:cs="Arial MT"/>
      <w:sz w:val="20"/>
      <w:szCs w:val="20"/>
    </w:rPr>
  </w:style>
  <w:style w:type="paragraph" w:styleId="Prrafodelista">
    <w:name w:val="List Paragraph"/>
    <w:aliases w:val="List1,Table of contents numbered,List bullet 1,Lista - Párrafo,Párrafo Numerado,Iz - Párrafo de lista,Sivsa Parrafo,lista,Figure_name,Bullet List,Lista sin Numerar,Lista viñetas,Colorful List - Accent 11,Llista Nivell1,Lista de nivel 1"/>
    <w:basedOn w:val="Normal"/>
    <w:link w:val="PrrafodelistaCar"/>
    <w:uiPriority w:val="1"/>
    <w:qFormat/>
    <w:rsid w:val="00832410"/>
    <w:pPr>
      <w:widowControl w:val="0"/>
      <w:autoSpaceDE w:val="0"/>
      <w:autoSpaceDN w:val="0"/>
      <w:spacing w:before="2" w:after="0" w:line="240" w:lineRule="auto"/>
      <w:ind w:left="1584" w:right="1583" w:firstLine="340"/>
      <w:jc w:val="both"/>
    </w:pPr>
    <w:rPr>
      <w:rFonts w:ascii="Arial MT" w:eastAsia="Arial MT" w:hAnsi="Arial MT" w:cs="Arial MT"/>
    </w:rPr>
  </w:style>
  <w:style w:type="paragraph" w:styleId="Encabezado">
    <w:name w:val="header"/>
    <w:basedOn w:val="Normal"/>
    <w:link w:val="EncabezadoCar"/>
    <w:uiPriority w:val="99"/>
    <w:unhideWhenUsed/>
    <w:rsid w:val="00877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6AF"/>
  </w:style>
  <w:style w:type="paragraph" w:styleId="Piedepgina">
    <w:name w:val="footer"/>
    <w:basedOn w:val="Normal"/>
    <w:link w:val="PiedepginaCar"/>
    <w:uiPriority w:val="99"/>
    <w:unhideWhenUsed/>
    <w:rsid w:val="00877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6AF"/>
  </w:style>
  <w:style w:type="paragraph" w:styleId="Sinespaciado">
    <w:name w:val="No Spacing"/>
    <w:uiPriority w:val="1"/>
    <w:qFormat/>
    <w:rsid w:val="002610D8"/>
    <w:pPr>
      <w:spacing w:after="0" w:line="240" w:lineRule="auto"/>
    </w:pPr>
  </w:style>
  <w:style w:type="character" w:styleId="Refdecomentario">
    <w:name w:val="annotation reference"/>
    <w:basedOn w:val="Fuentedeprrafopredeter"/>
    <w:semiHidden/>
    <w:unhideWhenUsed/>
    <w:rsid w:val="007571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719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719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71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719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6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891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a">
    <w:name w:val="Viñeta a)"/>
    <w:basedOn w:val="Normal"/>
    <w:link w:val="VietaaCar"/>
    <w:qFormat/>
    <w:rsid w:val="00D14641"/>
    <w:pPr>
      <w:numPr>
        <w:numId w:val="1"/>
      </w:numPr>
      <w:spacing w:before="120" w:after="120" w:line="240" w:lineRule="auto"/>
      <w:jc w:val="both"/>
    </w:pPr>
    <w:rPr>
      <w:rFonts w:ascii="Calibri" w:eastAsia="Calibri" w:hAnsi="Calibri" w:cs="Arial"/>
      <w:color w:val="595959" w:themeColor="text1" w:themeTint="A6"/>
      <w:szCs w:val="20"/>
      <w:lang w:val="en-US" w:eastAsia="es-ES"/>
    </w:rPr>
  </w:style>
  <w:style w:type="character" w:customStyle="1" w:styleId="VietaaCar">
    <w:name w:val="Viñeta a) Car"/>
    <w:basedOn w:val="Fuentedeprrafopredeter"/>
    <w:link w:val="Vietaa"/>
    <w:rsid w:val="00D14641"/>
    <w:rPr>
      <w:rFonts w:ascii="Calibri" w:eastAsia="Calibri" w:hAnsi="Calibri" w:cs="Arial"/>
      <w:color w:val="595959" w:themeColor="text1" w:themeTint="A6"/>
      <w:szCs w:val="20"/>
      <w:lang w:val="en-US" w:eastAsia="es-ES"/>
    </w:rPr>
  </w:style>
  <w:style w:type="paragraph" w:customStyle="1" w:styleId="aVietasincolor">
    <w:name w:val="a) Viñeta sin color"/>
    <w:basedOn w:val="Prrafodelista"/>
    <w:link w:val="aVietasincolorCar"/>
    <w:qFormat/>
    <w:rsid w:val="00D14641"/>
    <w:pPr>
      <w:widowControl/>
      <w:numPr>
        <w:numId w:val="2"/>
      </w:numPr>
      <w:autoSpaceDE/>
      <w:autoSpaceDN/>
      <w:spacing w:before="100" w:after="100"/>
      <w:ind w:right="0"/>
    </w:pPr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character" w:customStyle="1" w:styleId="aVietasincolorCar">
    <w:name w:val="a) Viñeta sin color Car"/>
    <w:basedOn w:val="Fuentedeprrafopredeter"/>
    <w:link w:val="aVietasincolor"/>
    <w:rsid w:val="00D14641"/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paragraph" w:customStyle="1" w:styleId="1Numsincolor">
    <w:name w:val="1. Num sin color"/>
    <w:basedOn w:val="Normal"/>
    <w:link w:val="1NumsincolorCar"/>
    <w:qFormat/>
    <w:rsid w:val="00D14641"/>
    <w:pPr>
      <w:numPr>
        <w:numId w:val="3"/>
      </w:numPr>
      <w:spacing w:before="100" w:after="100" w:line="240" w:lineRule="auto"/>
      <w:jc w:val="both"/>
    </w:pPr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character" w:customStyle="1" w:styleId="1NumsincolorCar">
    <w:name w:val="1. Num sin color Car"/>
    <w:basedOn w:val="Fuentedeprrafopredeter"/>
    <w:link w:val="1Numsincolor"/>
    <w:rsid w:val="00D14641"/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D146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7DD0"/>
    <w:rPr>
      <w:color w:val="0000FF"/>
      <w:u w:val="single"/>
    </w:rPr>
  </w:style>
  <w:style w:type="paragraph" w:customStyle="1" w:styleId="a">
    <w:name w:val="a"/>
    <w:basedOn w:val="Normal"/>
    <w:rsid w:val="00037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037DD0"/>
    <w:rPr>
      <w:i/>
      <w:iCs/>
    </w:rPr>
  </w:style>
  <w:style w:type="character" w:customStyle="1" w:styleId="PrrafodelistaCar">
    <w:name w:val="Párrafo de lista Car"/>
    <w:aliases w:val="List1 Car,Table of contents numbered Car,List bullet 1 Car,Lista - Párrafo Car,Párrafo Numerado Car,Iz - Párrafo de lista Car,Sivsa Parrafo Car,lista Car,Figure_name Car,Bullet List Car,Lista sin Numerar Car,Lista viñetas Car"/>
    <w:link w:val="Prrafodelista"/>
    <w:uiPriority w:val="34"/>
    <w:qFormat/>
    <w:rsid w:val="00C35140"/>
    <w:rPr>
      <w:rFonts w:ascii="Arial MT" w:eastAsia="Arial MT" w:hAnsi="Arial MT" w:cs="Arial MT"/>
    </w:rPr>
  </w:style>
  <w:style w:type="character" w:styleId="Hipervnculovisitado">
    <w:name w:val="FollowedHyperlink"/>
    <w:basedOn w:val="Fuentedeprrafopredeter"/>
    <w:uiPriority w:val="99"/>
    <w:semiHidden/>
    <w:unhideWhenUsed/>
    <w:rsid w:val="00537DA7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35E73"/>
    <w:rPr>
      <w:color w:val="605E5C"/>
      <w:shd w:val="clear" w:color="auto" w:fill="E1DFDD"/>
    </w:rPr>
  </w:style>
  <w:style w:type="paragraph" w:customStyle="1" w:styleId="Default">
    <w:name w:val="Default"/>
    <w:rsid w:val="007C7D1E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294E5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842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A568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A568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A56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d74f4-8ff8-4dcb-9bd2-65b21a32d108">
      <Terms xmlns="http://schemas.microsoft.com/office/infopath/2007/PartnerControls"/>
    </lcf76f155ced4ddcb4097134ff3c332f>
    <TaxCatchAll xmlns="ce17ee78-b419-45c3-ad19-9c18ae4c4b8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183B616943247A16F85B7DCC29943" ma:contentTypeVersion="15" ma:contentTypeDescription="Crear nuevo documento." ma:contentTypeScope="" ma:versionID="28299c3035a1334adaaeeb690431f448">
  <xsd:schema xmlns:xsd="http://www.w3.org/2001/XMLSchema" xmlns:xs="http://www.w3.org/2001/XMLSchema" xmlns:p="http://schemas.microsoft.com/office/2006/metadata/properties" xmlns:ns2="4dcd74f4-8ff8-4dcb-9bd2-65b21a32d108" xmlns:ns3="ce17ee78-b419-45c3-ad19-9c18ae4c4b8f" targetNamespace="http://schemas.microsoft.com/office/2006/metadata/properties" ma:root="true" ma:fieldsID="3dfe589d559212f84b3c52957e26fd27" ns2:_="" ns3:_="">
    <xsd:import namespace="4dcd74f4-8ff8-4dcb-9bd2-65b21a32d108"/>
    <xsd:import namespace="ce17ee78-b419-45c3-ad19-9c18ae4c4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d74f4-8ff8-4dcb-9bd2-65b21a32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f6a6488a-54df-425c-be80-a6bf39aec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e78-b419-45c3-ad19-9c18ae4c4b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0bf7cc5-43ff-47e1-af99-c8ed19b04391}" ma:internalName="TaxCatchAll" ma:showField="CatchAllData" ma:web="ce17ee78-b419-45c3-ad19-9c18ae4c4b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183B616943247A16F85B7DCC29943" ma:contentTypeVersion="15" ma:contentTypeDescription="Crear nuevo documento." ma:contentTypeScope="" ma:versionID="28299c3035a1334adaaeeb690431f448">
  <xsd:schema xmlns:xsd="http://www.w3.org/2001/XMLSchema" xmlns:xs="http://www.w3.org/2001/XMLSchema" xmlns:p="http://schemas.microsoft.com/office/2006/metadata/properties" xmlns:ns2="4dcd74f4-8ff8-4dcb-9bd2-65b21a32d108" xmlns:ns3="ce17ee78-b419-45c3-ad19-9c18ae4c4b8f" targetNamespace="http://schemas.microsoft.com/office/2006/metadata/properties" ma:root="true" ma:fieldsID="3dfe589d559212f84b3c52957e26fd27" ns2:_="" ns3:_="">
    <xsd:import namespace="4dcd74f4-8ff8-4dcb-9bd2-65b21a32d108"/>
    <xsd:import namespace="ce17ee78-b419-45c3-ad19-9c18ae4c4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d74f4-8ff8-4dcb-9bd2-65b21a32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f6a6488a-54df-425c-be80-a6bf39aec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e78-b419-45c3-ad19-9c18ae4c4b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0bf7cc5-43ff-47e1-af99-c8ed19b04391}" ma:internalName="TaxCatchAll" ma:showField="CatchAllData" ma:web="ce17ee78-b419-45c3-ad19-9c18ae4c4b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d74f4-8ff8-4dcb-9bd2-65b21a32d108">
      <Terms xmlns="http://schemas.microsoft.com/office/infopath/2007/PartnerControls"/>
    </lcf76f155ced4ddcb4097134ff3c332f>
    <TaxCatchAll xmlns="ce17ee78-b419-45c3-ad19-9c18ae4c4b8f" xsi:nil="true"/>
  </documentManagement>
</p:properties>
</file>

<file path=customXml/itemProps1.xml><?xml version="1.0" encoding="utf-8"?>
<ds:datastoreItem xmlns:ds="http://schemas.openxmlformats.org/officeDocument/2006/customXml" ds:itemID="{E3ADCA32-3F59-4B80-A5F9-E44D704F9E0E}">
  <ds:schemaRefs>
    <ds:schemaRef ds:uri="http://schemas.microsoft.com/office/2006/metadata/properties"/>
    <ds:schemaRef ds:uri="http://schemas.microsoft.com/office/infopath/2007/PartnerControls"/>
    <ds:schemaRef ds:uri="4dcd74f4-8ff8-4dcb-9bd2-65b21a32d108"/>
    <ds:schemaRef ds:uri="ce17ee78-b419-45c3-ad19-9c18ae4c4b8f"/>
  </ds:schemaRefs>
</ds:datastoreItem>
</file>

<file path=customXml/itemProps2.xml><?xml version="1.0" encoding="utf-8"?>
<ds:datastoreItem xmlns:ds="http://schemas.openxmlformats.org/officeDocument/2006/customXml" ds:itemID="{EC8FB25B-8F5D-4189-A9FF-ECA1335BEB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8E814-DA36-4796-9A86-51DDF07EA8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0FDC6-6C56-44C0-B2CD-42F4B681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d74f4-8ff8-4dcb-9bd2-65b21a32d108"/>
    <ds:schemaRef ds:uri="ce17ee78-b419-45c3-ad19-9c18ae4c4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C150BB-23CB-4F25-9953-DF19611EF74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A0586B5-2AC8-4E9D-853A-5D8913076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d74f4-8ff8-4dcb-9bd2-65b21a32d108"/>
    <ds:schemaRef ds:uri="ce17ee78-b419-45c3-ad19-9c18ae4c4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1F7AAED1-8915-4A04-938C-26EA17A51D67}">
  <ds:schemaRefs>
    <ds:schemaRef ds:uri="http://schemas.microsoft.com/office/2006/metadata/properties"/>
    <ds:schemaRef ds:uri="http://schemas.microsoft.com/office/infopath/2007/PartnerControls"/>
    <ds:schemaRef ds:uri="4dcd74f4-8ff8-4dcb-9bd2-65b21a32d108"/>
    <ds:schemaRef ds:uri="ce17ee78-b419-45c3-ad19-9c18ae4c4b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1579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Sanz</dc:creator>
  <cp:keywords/>
  <dc:description/>
  <cp:lastModifiedBy>JIMENEZ ALADRO, DAVID</cp:lastModifiedBy>
  <cp:revision>22</cp:revision>
  <dcterms:created xsi:type="dcterms:W3CDTF">2022-07-28T12:14:00Z</dcterms:created>
  <dcterms:modified xsi:type="dcterms:W3CDTF">2022-07-29T08:21:00Z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0x0101001FF183B616943247A16F85B7DCC29943</vt:lpwstr>
  </property>
  <property fmtid="{D5CDD505-2E9C-101B-9397-08002B2CF9AE}" pid="3" name="MediaServiceImageTags">
    <vt:lpwstr/>
  </property>
</Properties>
</file>